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38" w:rsidRPr="00F774CA" w:rsidRDefault="000A3E2F" w:rsidP="00797438">
      <w:pPr>
        <w:ind w:firstLine="28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  <w:r w:rsidR="00797438" w:rsidRPr="00F774CA">
        <w:rPr>
          <w:b/>
          <w:sz w:val="28"/>
          <w:szCs w:val="28"/>
          <w:u w:val="single"/>
        </w:rPr>
        <w:t>Nom pour BDD:</w:t>
      </w:r>
    </w:p>
    <w:p w:rsidR="0050682F" w:rsidRDefault="0050682F" w:rsidP="0050682F">
      <w:pPr>
        <w:ind w:left="1425"/>
        <w:jc w:val="both"/>
      </w:pPr>
    </w:p>
    <w:p w:rsidR="0050682F" w:rsidRDefault="000A3E2F" w:rsidP="0050682F">
      <w:pPr>
        <w:numPr>
          <w:ilvl w:val="0"/>
          <w:numId w:val="7"/>
        </w:numPr>
        <w:jc w:val="both"/>
      </w:pPr>
      <w:r>
        <w:t xml:space="preserve">Fertilisation </w:t>
      </w:r>
      <w:r w:rsidR="0050682F" w:rsidRPr="0050682F">
        <w:t xml:space="preserve">formes et doses </w:t>
      </w:r>
      <w:r>
        <w:t xml:space="preserve">de </w:t>
      </w:r>
      <w:r w:rsidR="0050682F" w:rsidRPr="0050682F">
        <w:t xml:space="preserve">calcium </w:t>
      </w:r>
      <w:r>
        <w:t xml:space="preserve">sur </w:t>
      </w:r>
      <w:r w:rsidR="0050682F" w:rsidRPr="0050682F">
        <w:t xml:space="preserve">épicéas </w:t>
      </w:r>
      <w:r>
        <w:t xml:space="preserve">à la </w:t>
      </w:r>
      <w:r w:rsidR="0050682F" w:rsidRPr="0050682F">
        <w:t xml:space="preserve">Croix </w:t>
      </w:r>
      <w:proofErr w:type="spellStart"/>
      <w:r w:rsidR="0050682F" w:rsidRPr="0050682F">
        <w:t>Scaille</w:t>
      </w:r>
      <w:proofErr w:type="spellEnd"/>
    </w:p>
    <w:p w:rsidR="00797438" w:rsidRPr="0061503F" w:rsidRDefault="00797438" w:rsidP="00797438">
      <w:pPr>
        <w:ind w:left="1425"/>
        <w:jc w:val="both"/>
      </w:pPr>
    </w:p>
    <w:p w:rsidR="00797438" w:rsidRPr="00F774CA" w:rsidRDefault="00797438" w:rsidP="00797438">
      <w:pPr>
        <w:ind w:firstLine="284"/>
        <w:jc w:val="both"/>
        <w:rPr>
          <w:b/>
          <w:sz w:val="28"/>
          <w:szCs w:val="28"/>
          <w:u w:val="single"/>
        </w:rPr>
      </w:pPr>
      <w:r w:rsidRPr="00F774CA">
        <w:rPr>
          <w:b/>
          <w:sz w:val="28"/>
          <w:szCs w:val="28"/>
          <w:u w:val="single"/>
        </w:rPr>
        <w:t>Nom complet :</w:t>
      </w:r>
    </w:p>
    <w:p w:rsidR="00797438" w:rsidRDefault="00797438" w:rsidP="00797438">
      <w:pPr>
        <w:jc w:val="both"/>
        <w:rPr>
          <w:b/>
          <w:u w:val="single"/>
        </w:rPr>
      </w:pPr>
    </w:p>
    <w:p w:rsidR="00797438" w:rsidRPr="0061503F" w:rsidRDefault="00F774CA" w:rsidP="00797438">
      <w:pPr>
        <w:numPr>
          <w:ilvl w:val="0"/>
          <w:numId w:val="7"/>
        </w:numPr>
        <w:ind w:left="1276" w:hanging="283"/>
        <w:jc w:val="both"/>
      </w:pPr>
      <w:r>
        <w:t>Etude dendroécologique d’une</w:t>
      </w:r>
      <w:r w:rsidR="00F45993">
        <w:t xml:space="preserve"> </w:t>
      </w:r>
      <w:r w:rsidR="0078525D">
        <w:t>plantation d’épicéa commun (Picea abies</w:t>
      </w:r>
      <w:r>
        <w:t xml:space="preserve"> (L.) Karst.) des</w:t>
      </w:r>
      <w:r w:rsidR="0078525D">
        <w:t xml:space="preserve"> Ardennes</w:t>
      </w:r>
      <w:r>
        <w:t>,</w:t>
      </w:r>
      <w:r w:rsidRPr="00F774CA">
        <w:t xml:space="preserve"> </w:t>
      </w:r>
      <w:r>
        <w:t>fertilisée</w:t>
      </w:r>
      <w:r w:rsidR="001D5456">
        <w:t xml:space="preserve"> avec différentes formes et dos</w:t>
      </w:r>
      <w:r>
        <w:t>e</w:t>
      </w:r>
      <w:r w:rsidR="001D5456">
        <w:t>s</w:t>
      </w:r>
      <w:r w:rsidR="00B46CDE">
        <w:t xml:space="preserve"> </w:t>
      </w:r>
      <w:r>
        <w:t xml:space="preserve"> de calcium</w:t>
      </w:r>
      <w:r w:rsidR="0078525D">
        <w:t>.</w:t>
      </w:r>
    </w:p>
    <w:p w:rsidR="00797438" w:rsidRDefault="00797438" w:rsidP="00797438">
      <w:pPr>
        <w:jc w:val="both"/>
        <w:rPr>
          <w:b/>
          <w:u w:val="single"/>
        </w:rPr>
      </w:pPr>
    </w:p>
    <w:p w:rsidR="00797438" w:rsidRPr="00F774CA" w:rsidRDefault="00797438" w:rsidP="00797438">
      <w:pPr>
        <w:ind w:firstLine="284"/>
        <w:jc w:val="both"/>
        <w:rPr>
          <w:b/>
          <w:sz w:val="28"/>
          <w:szCs w:val="28"/>
          <w:u w:val="single"/>
        </w:rPr>
      </w:pPr>
      <w:r w:rsidRPr="00F774CA">
        <w:rPr>
          <w:b/>
          <w:sz w:val="28"/>
          <w:szCs w:val="28"/>
          <w:u w:val="single"/>
        </w:rPr>
        <w:t>Abrégé :</w:t>
      </w:r>
    </w:p>
    <w:p w:rsidR="00797438" w:rsidRDefault="00797438" w:rsidP="00797438">
      <w:pPr>
        <w:ind w:firstLine="284"/>
        <w:jc w:val="both"/>
        <w:rPr>
          <w:b/>
          <w:u w:val="single"/>
        </w:rPr>
      </w:pPr>
    </w:p>
    <w:p w:rsidR="00797438" w:rsidRPr="006421E3" w:rsidRDefault="00F45993" w:rsidP="00797438">
      <w:pPr>
        <w:numPr>
          <w:ilvl w:val="0"/>
          <w:numId w:val="7"/>
        </w:numPr>
        <w:jc w:val="both"/>
      </w:pPr>
      <w:r>
        <w:t>EpXsF2</w:t>
      </w:r>
    </w:p>
    <w:p w:rsidR="00797438" w:rsidRPr="00953309" w:rsidRDefault="00797438" w:rsidP="00797438">
      <w:pPr>
        <w:jc w:val="both"/>
      </w:pPr>
    </w:p>
    <w:p w:rsidR="00797438" w:rsidRPr="00F774CA" w:rsidRDefault="00797438" w:rsidP="00797438">
      <w:pPr>
        <w:ind w:firstLine="284"/>
        <w:jc w:val="both"/>
        <w:rPr>
          <w:b/>
          <w:sz w:val="28"/>
          <w:szCs w:val="28"/>
          <w:u w:val="single"/>
        </w:rPr>
      </w:pPr>
      <w:r w:rsidRPr="00F774CA">
        <w:rPr>
          <w:b/>
          <w:sz w:val="28"/>
          <w:szCs w:val="28"/>
          <w:u w:val="single"/>
        </w:rPr>
        <w:t>Résumé :</w:t>
      </w:r>
    </w:p>
    <w:p w:rsidR="00F85D27" w:rsidRPr="00953309" w:rsidRDefault="00F85D27" w:rsidP="00797438">
      <w:pPr>
        <w:ind w:firstLine="284"/>
        <w:jc w:val="both"/>
        <w:rPr>
          <w:b/>
          <w:u w:val="single"/>
        </w:rPr>
      </w:pPr>
    </w:p>
    <w:p w:rsidR="00F774CA" w:rsidRPr="00F774CA" w:rsidRDefault="0078525D" w:rsidP="00F774CA">
      <w:pPr>
        <w:numPr>
          <w:ilvl w:val="0"/>
          <w:numId w:val="2"/>
        </w:numPr>
        <w:spacing w:after="200" w:line="276" w:lineRule="auto"/>
        <w:ind w:left="1276" w:hanging="283"/>
        <w:jc w:val="both"/>
        <w:rPr>
          <w:b/>
          <w:i/>
          <w:u w:val="single"/>
        </w:rPr>
      </w:pPr>
      <w:r>
        <w:t>En 19</w:t>
      </w:r>
      <w:r w:rsidR="008E4DB2">
        <w:t>89 (21/04/1989)</w:t>
      </w:r>
      <w:r>
        <w:t>, Claude Nys a installé un dispos</w:t>
      </w:r>
      <w:r w:rsidR="00F774CA">
        <w:t>itif de fertilisation d’épicéas</w:t>
      </w:r>
      <w:r>
        <w:t xml:space="preserve"> </w:t>
      </w:r>
      <w:r w:rsidRPr="008E4DB2">
        <w:t xml:space="preserve">comprenant </w:t>
      </w:r>
      <w:r w:rsidR="008E4DB2" w:rsidRPr="008E4DB2">
        <w:t>T</w:t>
      </w:r>
      <w:r w:rsidR="008E4DB2">
        <w:t xml:space="preserve">émoin, </w:t>
      </w:r>
      <w:proofErr w:type="spellStart"/>
      <w:r w:rsidR="008E4DB2">
        <w:t>CaO</w:t>
      </w:r>
      <w:proofErr w:type="spellEnd"/>
      <w:r w:rsidR="008E4DB2">
        <w:t xml:space="preserve">, CaCO3, CaMg, </w:t>
      </w:r>
      <w:r w:rsidR="00BD5234">
        <w:t>CaSO4, Ca</w:t>
      </w:r>
      <w:r w:rsidR="00F774CA">
        <w:t>Cl</w:t>
      </w:r>
      <w:r w:rsidR="001F3106">
        <w:t>2</w:t>
      </w:r>
      <w:r w:rsidR="00F774CA">
        <w:t xml:space="preserve"> à différentes doses</w:t>
      </w:r>
      <w:r w:rsidR="004D73A9">
        <w:t>.</w:t>
      </w:r>
      <w:r w:rsidR="008E4DB2">
        <w:t xml:space="preserve"> </w:t>
      </w:r>
    </w:p>
    <w:p w:rsidR="00797438" w:rsidRPr="00A326B4" w:rsidRDefault="00797438" w:rsidP="00AB4A1D">
      <w:pPr>
        <w:spacing w:after="200" w:line="276" w:lineRule="auto"/>
        <w:ind w:left="284"/>
        <w:jc w:val="both"/>
        <w:rPr>
          <w:b/>
          <w:u w:val="single"/>
        </w:rPr>
      </w:pPr>
      <w:r w:rsidRPr="00F774CA">
        <w:rPr>
          <w:b/>
          <w:sz w:val="28"/>
          <w:szCs w:val="28"/>
          <w:u w:val="single"/>
        </w:rPr>
        <w:t xml:space="preserve">Objectifs : </w:t>
      </w:r>
    </w:p>
    <w:p w:rsidR="00797438" w:rsidRPr="00A326B4" w:rsidRDefault="00A326B4" w:rsidP="006B66DD">
      <w:pPr>
        <w:numPr>
          <w:ilvl w:val="0"/>
          <w:numId w:val="1"/>
        </w:numPr>
        <w:tabs>
          <w:tab w:val="clear" w:pos="720"/>
          <w:tab w:val="num" w:pos="1276"/>
        </w:tabs>
        <w:spacing w:after="200" w:line="276" w:lineRule="auto"/>
        <w:ind w:left="1276" w:hanging="283"/>
        <w:jc w:val="both"/>
      </w:pPr>
      <w:r w:rsidRPr="00A326B4">
        <w:t>Tester l’influence de différentes doses et différentes formes de calcium sur l’état de santé d’épicéas soumis à de forts dépôts acides.</w:t>
      </w:r>
    </w:p>
    <w:p w:rsidR="00797438" w:rsidRPr="00F774CA" w:rsidRDefault="00797438" w:rsidP="00797438">
      <w:pPr>
        <w:ind w:firstLine="284"/>
        <w:jc w:val="both"/>
        <w:rPr>
          <w:b/>
          <w:sz w:val="28"/>
          <w:szCs w:val="28"/>
          <w:u w:val="single"/>
        </w:rPr>
      </w:pPr>
      <w:r w:rsidRPr="00F774CA">
        <w:rPr>
          <w:b/>
          <w:sz w:val="28"/>
          <w:szCs w:val="28"/>
          <w:u w:val="single"/>
        </w:rPr>
        <w:t>Protocole de prélèvement et d’observation :</w:t>
      </w:r>
    </w:p>
    <w:p w:rsidR="00797438" w:rsidRPr="008E4DB2" w:rsidRDefault="00797438" w:rsidP="00797438">
      <w:pPr>
        <w:jc w:val="both"/>
        <w:rPr>
          <w:i/>
        </w:rPr>
      </w:pPr>
    </w:p>
    <w:p w:rsidR="00797438" w:rsidRPr="008E4DB2" w:rsidRDefault="00797438" w:rsidP="00797438">
      <w:pPr>
        <w:jc w:val="both"/>
        <w:rPr>
          <w:i/>
        </w:rPr>
      </w:pPr>
    </w:p>
    <w:p w:rsidR="00334642" w:rsidRPr="006B66DD" w:rsidRDefault="00334642" w:rsidP="006B66DD">
      <w:pPr>
        <w:numPr>
          <w:ilvl w:val="1"/>
          <w:numId w:val="1"/>
        </w:numPr>
        <w:rPr>
          <w:u w:val="single"/>
        </w:rPr>
      </w:pPr>
      <w:r w:rsidRPr="006B66DD">
        <w:rPr>
          <w:b/>
          <w:sz w:val="28"/>
          <w:szCs w:val="28"/>
          <w:u w:val="single"/>
        </w:rPr>
        <w:t>Fichier Placettes :</w:t>
      </w:r>
      <w:r w:rsidR="006B66DD" w:rsidRPr="006B66DD">
        <w:t xml:space="preserve"> (EPXsF2</w:t>
      </w:r>
      <w:r w:rsidRPr="006B66DD">
        <w:t>_placettes_pour_BDD.xlsx)</w:t>
      </w:r>
    </w:p>
    <w:p w:rsidR="00334642" w:rsidRPr="00B46CDE" w:rsidRDefault="00334642" w:rsidP="00334642">
      <w:pPr>
        <w:numPr>
          <w:ilvl w:val="0"/>
          <w:numId w:val="9"/>
        </w:numPr>
        <w:ind w:left="1276" w:hanging="283"/>
      </w:pPr>
      <w:r w:rsidRPr="00B46CDE">
        <w:rPr>
          <w:u w:val="single"/>
        </w:rPr>
        <w:t>Colonne A :</w:t>
      </w:r>
      <w:r w:rsidRPr="00B46CDE">
        <w:t xml:space="preserve"> localisation </w:t>
      </w:r>
    </w:p>
    <w:p w:rsidR="00334642" w:rsidRPr="00B46CDE" w:rsidRDefault="00334642" w:rsidP="00F4544C">
      <w:pPr>
        <w:ind w:left="1276"/>
      </w:pPr>
      <w:r w:rsidRPr="00B46CDE">
        <w:t>C’est la combinaison de l’abréviation de l’étude et du</w:t>
      </w:r>
      <w:r w:rsidR="007B2F5D" w:rsidRPr="00B46CDE">
        <w:t xml:space="preserve"> numéro d’un des 4  blocs.</w:t>
      </w:r>
      <w:r w:rsidRPr="00B46CDE">
        <w:t xml:space="preserve"> </w:t>
      </w:r>
    </w:p>
    <w:p w:rsidR="00334642" w:rsidRPr="008E4DB2" w:rsidRDefault="00334642" w:rsidP="00334642">
      <w:pPr>
        <w:ind w:left="1276" w:hanging="283"/>
        <w:jc w:val="both"/>
        <w:rPr>
          <w:i/>
        </w:rPr>
      </w:pPr>
    </w:p>
    <w:p w:rsidR="00334642" w:rsidRPr="00B46CDE" w:rsidRDefault="00334642" w:rsidP="00334642">
      <w:pPr>
        <w:numPr>
          <w:ilvl w:val="2"/>
          <w:numId w:val="1"/>
        </w:numPr>
        <w:tabs>
          <w:tab w:val="num" w:pos="1276"/>
        </w:tabs>
        <w:ind w:left="1276" w:hanging="283"/>
        <w:jc w:val="both"/>
      </w:pPr>
      <w:r w:rsidRPr="00B46CDE">
        <w:t>Colonne B : Placette unitaire (PAU)</w:t>
      </w:r>
    </w:p>
    <w:p w:rsidR="00334642" w:rsidRDefault="00334642" w:rsidP="00334642">
      <w:pPr>
        <w:ind w:left="1276"/>
        <w:jc w:val="both"/>
      </w:pPr>
      <w:r w:rsidRPr="00B46CDE">
        <w:t>Les différents traitements ont été réalisé</w:t>
      </w:r>
      <w:r w:rsidR="00AB4A1D">
        <w:t>s</w:t>
      </w:r>
      <w:r w:rsidRPr="00B46CDE">
        <w:t xml:space="preserve"> </w:t>
      </w:r>
      <w:r w:rsidR="00F4544C" w:rsidRPr="00B46CDE">
        <w:t>sur des p</w:t>
      </w:r>
      <w:r w:rsidR="004859B5">
        <w:t>lacettes unitaires</w:t>
      </w:r>
      <w:r w:rsidR="00F4544C" w:rsidRPr="00B46CDE">
        <w:t xml:space="preserve"> </w:t>
      </w:r>
      <w:r w:rsidR="004859B5" w:rsidRPr="00B46CDE">
        <w:t xml:space="preserve">de </w:t>
      </w:r>
      <w:r w:rsidR="004859B5">
        <w:t>625</w:t>
      </w:r>
      <w:r w:rsidR="004859B5" w:rsidRPr="00B46CDE">
        <w:t xml:space="preserve"> m</w:t>
      </w:r>
      <w:r w:rsidR="004859B5" w:rsidRPr="00B46CDE">
        <w:rPr>
          <w:vertAlign w:val="superscript"/>
        </w:rPr>
        <w:t>2</w:t>
      </w:r>
      <w:r w:rsidR="004859B5" w:rsidRPr="00B46CDE">
        <w:t xml:space="preserve"> (</w:t>
      </w:r>
      <w:r w:rsidR="004859B5">
        <w:t>25</w:t>
      </w:r>
      <w:r w:rsidR="004859B5" w:rsidRPr="00B46CDE">
        <w:t xml:space="preserve"> X </w:t>
      </w:r>
      <w:r w:rsidR="004859B5">
        <w:t xml:space="preserve">25 m) </w:t>
      </w:r>
      <w:r w:rsidR="00AB4A1D">
        <w:t>contigües</w:t>
      </w:r>
      <w:r w:rsidRPr="00B46CDE">
        <w:t xml:space="preserve">. </w:t>
      </w:r>
      <w:r w:rsidR="004859B5">
        <w:t>Elles sont</w:t>
      </w:r>
      <w:r w:rsidRPr="00B46CDE">
        <w:t xml:space="preserve"> désignée</w:t>
      </w:r>
      <w:r w:rsidR="004859B5">
        <w:t>s</w:t>
      </w:r>
      <w:r w:rsidRPr="00B46CDE">
        <w:t xml:space="preserve"> par la combinaison de l’abréviation de l’étude, d</w:t>
      </w:r>
      <w:r w:rsidR="00B46CDE">
        <w:t>u numéro d’un des 4 blocs et des coordonnées du placeau.</w:t>
      </w:r>
    </w:p>
    <w:p w:rsidR="004859B5" w:rsidRDefault="004859B5" w:rsidP="00334642">
      <w:pPr>
        <w:ind w:left="1276"/>
        <w:jc w:val="both"/>
      </w:pPr>
    </w:p>
    <w:p w:rsidR="00234E6A" w:rsidRDefault="00234E6A" w:rsidP="004859B5">
      <w:pPr>
        <w:ind w:left="1276"/>
        <w:jc w:val="center"/>
        <w:rPr>
          <w:b/>
          <w:sz w:val="32"/>
          <w:szCs w:val="32"/>
          <w:u w:val="single"/>
        </w:rPr>
      </w:pPr>
    </w:p>
    <w:p w:rsidR="00234E6A" w:rsidRDefault="00234E6A" w:rsidP="004859B5">
      <w:pPr>
        <w:ind w:left="1276"/>
        <w:jc w:val="center"/>
        <w:rPr>
          <w:b/>
          <w:sz w:val="32"/>
          <w:szCs w:val="32"/>
          <w:u w:val="single"/>
        </w:rPr>
      </w:pPr>
    </w:p>
    <w:p w:rsidR="00234E6A" w:rsidRDefault="00234E6A" w:rsidP="004859B5">
      <w:pPr>
        <w:ind w:left="1276"/>
        <w:jc w:val="center"/>
        <w:rPr>
          <w:b/>
          <w:sz w:val="32"/>
          <w:szCs w:val="32"/>
          <w:u w:val="single"/>
        </w:rPr>
      </w:pPr>
    </w:p>
    <w:p w:rsidR="00234E6A" w:rsidRDefault="00234E6A" w:rsidP="004859B5">
      <w:pPr>
        <w:ind w:left="1276"/>
        <w:jc w:val="center"/>
        <w:rPr>
          <w:b/>
          <w:sz w:val="32"/>
          <w:szCs w:val="32"/>
          <w:u w:val="single"/>
        </w:rPr>
      </w:pPr>
    </w:p>
    <w:p w:rsidR="00234E6A" w:rsidRDefault="00234E6A" w:rsidP="004859B5">
      <w:pPr>
        <w:ind w:left="1276"/>
        <w:jc w:val="center"/>
        <w:rPr>
          <w:b/>
          <w:sz w:val="32"/>
          <w:szCs w:val="32"/>
          <w:u w:val="single"/>
        </w:rPr>
      </w:pPr>
    </w:p>
    <w:p w:rsidR="00234E6A" w:rsidRDefault="00234E6A" w:rsidP="004859B5">
      <w:pPr>
        <w:ind w:left="1276"/>
        <w:jc w:val="center"/>
        <w:rPr>
          <w:b/>
          <w:sz w:val="32"/>
          <w:szCs w:val="32"/>
          <w:u w:val="single"/>
        </w:rPr>
      </w:pPr>
    </w:p>
    <w:p w:rsidR="00234E6A" w:rsidRDefault="00234E6A" w:rsidP="004859B5">
      <w:pPr>
        <w:ind w:left="1276"/>
        <w:jc w:val="center"/>
        <w:rPr>
          <w:b/>
          <w:sz w:val="32"/>
          <w:szCs w:val="32"/>
          <w:u w:val="single"/>
        </w:rPr>
      </w:pPr>
    </w:p>
    <w:p w:rsidR="00234E6A" w:rsidRDefault="00234E6A" w:rsidP="004859B5">
      <w:pPr>
        <w:ind w:left="1276"/>
        <w:jc w:val="center"/>
        <w:rPr>
          <w:b/>
          <w:sz w:val="32"/>
          <w:szCs w:val="32"/>
          <w:u w:val="single"/>
        </w:rPr>
      </w:pPr>
    </w:p>
    <w:p w:rsidR="00234E6A" w:rsidRDefault="00234E6A" w:rsidP="004859B5">
      <w:pPr>
        <w:ind w:left="1276"/>
        <w:jc w:val="center"/>
        <w:rPr>
          <w:b/>
          <w:sz w:val="32"/>
          <w:szCs w:val="32"/>
          <w:u w:val="single"/>
        </w:rPr>
      </w:pPr>
    </w:p>
    <w:p w:rsidR="00234E6A" w:rsidRDefault="00234E6A" w:rsidP="004859B5">
      <w:pPr>
        <w:ind w:left="1276"/>
        <w:jc w:val="center"/>
        <w:rPr>
          <w:b/>
          <w:sz w:val="32"/>
          <w:szCs w:val="32"/>
          <w:u w:val="single"/>
        </w:rPr>
      </w:pPr>
    </w:p>
    <w:p w:rsidR="00234E6A" w:rsidRDefault="00234E6A" w:rsidP="004859B5">
      <w:pPr>
        <w:ind w:left="1276"/>
        <w:jc w:val="center"/>
        <w:rPr>
          <w:b/>
          <w:sz w:val="32"/>
          <w:szCs w:val="32"/>
          <w:u w:val="single"/>
        </w:rPr>
      </w:pPr>
    </w:p>
    <w:p w:rsidR="00234E6A" w:rsidRDefault="00234E6A" w:rsidP="004859B5">
      <w:pPr>
        <w:ind w:left="1276"/>
        <w:jc w:val="center"/>
        <w:rPr>
          <w:b/>
          <w:sz w:val="32"/>
          <w:szCs w:val="32"/>
          <w:u w:val="single"/>
        </w:rPr>
      </w:pPr>
    </w:p>
    <w:p w:rsidR="00234E6A" w:rsidRDefault="00234E6A" w:rsidP="00234E6A">
      <w:pPr>
        <w:ind w:left="1276"/>
        <w:jc w:val="center"/>
        <w:rPr>
          <w:b/>
          <w:sz w:val="32"/>
          <w:szCs w:val="32"/>
          <w:u w:val="single"/>
        </w:rPr>
      </w:pPr>
    </w:p>
    <w:p w:rsidR="00334642" w:rsidRPr="00234E6A" w:rsidRDefault="00234E6A" w:rsidP="00234E6A">
      <w:pPr>
        <w:ind w:left="127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Traitements appliqués :</w:t>
      </w:r>
    </w:p>
    <w:p w:rsidR="00B8206F" w:rsidRPr="008E4DB2" w:rsidRDefault="00B8206F" w:rsidP="00457220">
      <w:pPr>
        <w:ind w:left="284"/>
        <w:jc w:val="both"/>
        <w:rPr>
          <w:i/>
        </w:rPr>
      </w:pPr>
    </w:p>
    <w:p w:rsidR="00334642" w:rsidRDefault="00234E6A" w:rsidP="00334642">
      <w:pPr>
        <w:jc w:val="both"/>
        <w:rPr>
          <w:i/>
        </w:rPr>
      </w:pPr>
      <w:r>
        <w:rPr>
          <w:noProof/>
        </w:rPr>
        <w:drawing>
          <wp:inline distT="0" distB="0" distL="0" distR="0" wp14:anchorId="42426454" wp14:editId="080FB4D9">
            <wp:extent cx="5172075" cy="9176261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827" cy="919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FC7" w:rsidRPr="005F4FC7" w:rsidRDefault="005F4FC7" w:rsidP="005F4FC7">
      <w:pPr>
        <w:jc w:val="center"/>
        <w:rPr>
          <w:b/>
          <w:sz w:val="28"/>
          <w:szCs w:val="28"/>
        </w:rPr>
      </w:pPr>
      <w:r w:rsidRPr="005F4FC7">
        <w:rPr>
          <w:b/>
          <w:sz w:val="28"/>
          <w:szCs w:val="28"/>
        </w:rPr>
        <w:lastRenderedPageBreak/>
        <w:t>Plan de terrain :</w:t>
      </w:r>
    </w:p>
    <w:p w:rsidR="00334642" w:rsidRPr="008E4DB2" w:rsidRDefault="004859B5" w:rsidP="00334642">
      <w:pPr>
        <w:jc w:val="both"/>
        <w:rPr>
          <w:i/>
        </w:rPr>
      </w:pPr>
      <w:r>
        <w:rPr>
          <w:i/>
          <w:noProof/>
        </w:rPr>
        <w:drawing>
          <wp:inline distT="0" distB="0" distL="0" distR="0">
            <wp:extent cx="6121215" cy="88201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946" cy="88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642" w:rsidRDefault="00334642" w:rsidP="00334642">
      <w:pPr>
        <w:jc w:val="both"/>
        <w:rPr>
          <w:i/>
        </w:rPr>
      </w:pPr>
    </w:p>
    <w:p w:rsidR="001F3106" w:rsidRDefault="001F3106" w:rsidP="001F3106">
      <w:pPr>
        <w:jc w:val="both"/>
        <w:rPr>
          <w:i/>
        </w:rPr>
      </w:pPr>
    </w:p>
    <w:p w:rsidR="00234E6A" w:rsidRDefault="00234E6A" w:rsidP="001F3106">
      <w:pPr>
        <w:ind w:left="1276"/>
        <w:jc w:val="center"/>
        <w:rPr>
          <w:b/>
          <w:sz w:val="32"/>
          <w:szCs w:val="32"/>
          <w:u w:val="single"/>
        </w:rPr>
      </w:pPr>
    </w:p>
    <w:p w:rsidR="001F3106" w:rsidRPr="004859B5" w:rsidRDefault="001F3106" w:rsidP="001F3106">
      <w:pPr>
        <w:ind w:left="127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Plan des placettes mesurées par J. F. Picard</w:t>
      </w:r>
      <w:r w:rsidRPr="004859B5">
        <w:rPr>
          <w:b/>
          <w:sz w:val="32"/>
          <w:szCs w:val="32"/>
          <w:u w:val="single"/>
        </w:rPr>
        <w:t> :</w:t>
      </w:r>
    </w:p>
    <w:p w:rsidR="001F3106" w:rsidRDefault="001F3106" w:rsidP="001F3106">
      <w:pPr>
        <w:jc w:val="both"/>
        <w:rPr>
          <w:i/>
        </w:rPr>
      </w:pPr>
    </w:p>
    <w:p w:rsidR="001F3106" w:rsidRPr="008E4DB2" w:rsidRDefault="001F3106" w:rsidP="001F3106">
      <w:pPr>
        <w:jc w:val="both"/>
        <w:rPr>
          <w:i/>
        </w:rPr>
      </w:pPr>
    </w:p>
    <w:p w:rsidR="001F3106" w:rsidRPr="008E4DB2" w:rsidRDefault="001F3106" w:rsidP="001F3106">
      <w:pPr>
        <w:jc w:val="both"/>
        <w:rPr>
          <w:i/>
        </w:rPr>
      </w:pPr>
    </w:p>
    <w:p w:rsidR="001F3106" w:rsidRPr="008E4DB2" w:rsidRDefault="001F3106" w:rsidP="001F3106">
      <w:pPr>
        <w:jc w:val="both"/>
        <w:rPr>
          <w:i/>
        </w:rPr>
      </w:pPr>
    </w:p>
    <w:p w:rsidR="001F3106" w:rsidRDefault="001F3106" w:rsidP="001F3106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7DECEE96" wp14:editId="0589E60F">
            <wp:extent cx="5191125" cy="779904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EpXsF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662" cy="78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106" w:rsidRDefault="001F3106" w:rsidP="001F3106">
      <w:pPr>
        <w:jc w:val="center"/>
        <w:rPr>
          <w:b/>
          <w:sz w:val="28"/>
          <w:szCs w:val="28"/>
        </w:rPr>
      </w:pPr>
    </w:p>
    <w:p w:rsidR="001F3106" w:rsidRPr="008E4DB2" w:rsidRDefault="001F3106" w:rsidP="00334642">
      <w:pPr>
        <w:jc w:val="both"/>
        <w:rPr>
          <w:i/>
        </w:rPr>
      </w:pPr>
    </w:p>
    <w:p w:rsidR="00334642" w:rsidRPr="008E4DB2" w:rsidRDefault="00334642" w:rsidP="00334642">
      <w:pPr>
        <w:jc w:val="both"/>
        <w:rPr>
          <w:i/>
        </w:rPr>
      </w:pPr>
    </w:p>
    <w:p w:rsidR="00334642" w:rsidRPr="008E4DB2" w:rsidRDefault="00334642" w:rsidP="00334642">
      <w:pPr>
        <w:jc w:val="both"/>
        <w:rPr>
          <w:i/>
        </w:rPr>
      </w:pPr>
    </w:p>
    <w:p w:rsidR="00334642" w:rsidRPr="008E4DB2" w:rsidRDefault="00334642" w:rsidP="00334642">
      <w:pPr>
        <w:jc w:val="both"/>
        <w:rPr>
          <w:i/>
        </w:rPr>
      </w:pPr>
    </w:p>
    <w:p w:rsidR="00334642" w:rsidRPr="008E4DB2" w:rsidRDefault="00334642" w:rsidP="00334642">
      <w:pPr>
        <w:jc w:val="both"/>
        <w:rPr>
          <w:i/>
        </w:rPr>
      </w:pPr>
    </w:p>
    <w:p w:rsidR="00334642" w:rsidRPr="008E4DB2" w:rsidRDefault="00334642" w:rsidP="00334642">
      <w:pPr>
        <w:jc w:val="both"/>
        <w:rPr>
          <w:i/>
        </w:rPr>
      </w:pPr>
    </w:p>
    <w:p w:rsidR="00334642" w:rsidRPr="008E4DB2" w:rsidRDefault="00334642" w:rsidP="00334642">
      <w:pPr>
        <w:jc w:val="both"/>
        <w:rPr>
          <w:i/>
        </w:rPr>
      </w:pPr>
    </w:p>
    <w:p w:rsidR="00334642" w:rsidRPr="008E4DB2" w:rsidRDefault="00334642" w:rsidP="00334642">
      <w:pPr>
        <w:jc w:val="both"/>
        <w:rPr>
          <w:i/>
        </w:rPr>
      </w:pPr>
    </w:p>
    <w:p w:rsidR="00334642" w:rsidRPr="008E4DB2" w:rsidRDefault="00334642" w:rsidP="00334642">
      <w:pPr>
        <w:jc w:val="both"/>
        <w:rPr>
          <w:i/>
        </w:rPr>
      </w:pPr>
    </w:p>
    <w:p w:rsidR="007B2F5D" w:rsidRPr="008E4DB2" w:rsidRDefault="007B2F5D" w:rsidP="00334642">
      <w:pPr>
        <w:jc w:val="both"/>
        <w:rPr>
          <w:i/>
        </w:rPr>
      </w:pPr>
    </w:p>
    <w:p w:rsidR="007B2F5D" w:rsidRPr="008E4DB2" w:rsidRDefault="007B2F5D" w:rsidP="00334642">
      <w:pPr>
        <w:jc w:val="both"/>
        <w:rPr>
          <w:i/>
        </w:rPr>
      </w:pPr>
    </w:p>
    <w:p w:rsidR="007B2F5D" w:rsidRPr="008E4DB2" w:rsidRDefault="007B2F5D" w:rsidP="00334642">
      <w:pPr>
        <w:jc w:val="both"/>
        <w:rPr>
          <w:i/>
        </w:rPr>
      </w:pPr>
    </w:p>
    <w:p w:rsidR="007B2F5D" w:rsidRPr="008E4DB2" w:rsidRDefault="007B2F5D" w:rsidP="00334642">
      <w:pPr>
        <w:jc w:val="both"/>
        <w:rPr>
          <w:i/>
        </w:rPr>
      </w:pPr>
    </w:p>
    <w:p w:rsidR="007B2F5D" w:rsidRPr="008E4DB2" w:rsidRDefault="007B2F5D" w:rsidP="00334642">
      <w:pPr>
        <w:jc w:val="both"/>
        <w:rPr>
          <w:i/>
        </w:rPr>
      </w:pPr>
    </w:p>
    <w:p w:rsidR="007B2F5D" w:rsidRPr="008E4DB2" w:rsidRDefault="007B2F5D" w:rsidP="00334642">
      <w:pPr>
        <w:jc w:val="both"/>
        <w:rPr>
          <w:i/>
        </w:rPr>
      </w:pPr>
    </w:p>
    <w:p w:rsidR="00364A1C" w:rsidRDefault="00187589" w:rsidP="00364A1C">
      <w:pPr>
        <w:jc w:val="both"/>
      </w:pPr>
      <w:r>
        <w:t>La présente étude a porté s</w:t>
      </w:r>
      <w:r w:rsidR="00AB4A1D" w:rsidRPr="00A16566">
        <w:t>ur</w:t>
      </w:r>
      <w:r>
        <w:t xml:space="preserve"> 50 placeaux</w:t>
      </w:r>
      <w:r w:rsidR="00364A1C">
        <w:t xml:space="preserve">. 30 à 34 placeaux ont été inventoriés floristiquement à 5 dates différentes. Sur 39 qui ont été l’objet de mesures dendrométriques et de carottages, on a mesuré les cernes des carottes </w:t>
      </w:r>
      <w:proofErr w:type="spellStart"/>
      <w:r w:rsidR="00364A1C">
        <w:t>dendrologiques</w:t>
      </w:r>
      <w:proofErr w:type="spellEnd"/>
      <w:r w:rsidR="00364A1C">
        <w:t xml:space="preserve"> de </w:t>
      </w:r>
      <w:r w:rsidR="00364A1C" w:rsidRPr="00A16566">
        <w:t>23</w:t>
      </w:r>
      <w:r w:rsidR="00364A1C">
        <w:t xml:space="preserve"> d’entre eux. Il s’agit des placeaux suivants :</w:t>
      </w:r>
    </w:p>
    <w:p w:rsidR="00364A1C" w:rsidRPr="00A16566" w:rsidRDefault="00364A1C" w:rsidP="00364A1C">
      <w:pPr>
        <w:jc w:val="both"/>
      </w:pPr>
    </w:p>
    <w:p w:rsidR="00364A1C" w:rsidRPr="00A16566" w:rsidRDefault="00364A1C" w:rsidP="00364A1C">
      <w:pPr>
        <w:pStyle w:val="Paragraphedeliste"/>
        <w:numPr>
          <w:ilvl w:val="0"/>
          <w:numId w:val="13"/>
        </w:numPr>
        <w:jc w:val="both"/>
      </w:pPr>
      <w:r w:rsidRPr="00A16566">
        <w:t>3 placeaux témoins : EpXsF2_I_C1,  EpXsF2_II_C5</w:t>
      </w:r>
      <w:r>
        <w:t xml:space="preserve"> </w:t>
      </w:r>
      <w:r w:rsidRPr="00A16566">
        <w:t>et EpXsF2_I_C10</w:t>
      </w:r>
    </w:p>
    <w:p w:rsidR="00364A1C" w:rsidRPr="00A16566" w:rsidRDefault="00364A1C" w:rsidP="00364A1C">
      <w:pPr>
        <w:pStyle w:val="Paragraphedeliste"/>
        <w:numPr>
          <w:ilvl w:val="0"/>
          <w:numId w:val="13"/>
        </w:numPr>
        <w:jc w:val="both"/>
      </w:pPr>
      <w:r w:rsidRPr="00A16566">
        <w:t xml:space="preserve">6 placeaux traités à 3 doses de CaCO3 : </w:t>
      </w:r>
      <w:r w:rsidRPr="00AB4A1D">
        <w:t>EpXsF2_I_D1</w:t>
      </w:r>
      <w:r w:rsidRPr="00A16566">
        <w:t xml:space="preserve">, </w:t>
      </w:r>
      <w:r w:rsidRPr="00AB4A1D">
        <w:t>EpXsF2_II_D4</w:t>
      </w:r>
      <w:r w:rsidRPr="00A16566">
        <w:t xml:space="preserve">, </w:t>
      </w:r>
      <w:r w:rsidRPr="00AB4A1D">
        <w:t>EpXsF2_I_A2</w:t>
      </w:r>
      <w:r w:rsidRPr="00A16566">
        <w:t xml:space="preserve">, </w:t>
      </w:r>
      <w:r w:rsidRPr="00AB4A1D">
        <w:t>EpXsF2_II_D5</w:t>
      </w:r>
      <w:r w:rsidRPr="00A16566">
        <w:t xml:space="preserve">, </w:t>
      </w:r>
      <w:r w:rsidRPr="00AB4A1D">
        <w:t>EpXsF2_I_A3</w:t>
      </w:r>
      <w:r w:rsidRPr="00A16566">
        <w:t xml:space="preserve"> et </w:t>
      </w:r>
      <w:r w:rsidRPr="00AB4A1D">
        <w:t>EpXsF2_II_A6</w:t>
      </w:r>
    </w:p>
    <w:p w:rsidR="00364A1C" w:rsidRPr="00A16566" w:rsidRDefault="00364A1C" w:rsidP="00364A1C">
      <w:pPr>
        <w:pStyle w:val="Paragraphedeliste"/>
        <w:numPr>
          <w:ilvl w:val="0"/>
          <w:numId w:val="13"/>
        </w:numPr>
        <w:jc w:val="both"/>
      </w:pPr>
      <w:r w:rsidRPr="00A16566">
        <w:t xml:space="preserve">4 placeaux traités à 2 doses de </w:t>
      </w:r>
      <w:proofErr w:type="spellStart"/>
      <w:r w:rsidRPr="00A16566">
        <w:t>CaO</w:t>
      </w:r>
      <w:proofErr w:type="spellEnd"/>
      <w:r w:rsidRPr="00A16566">
        <w:t> : EpXsF2_I_C11, EpXsF2_II_E11, EpXsF2_I_B12 et EpXsF2_II_C13</w:t>
      </w:r>
    </w:p>
    <w:p w:rsidR="00364A1C" w:rsidRPr="00A16566" w:rsidRDefault="00364A1C" w:rsidP="00364A1C">
      <w:pPr>
        <w:pStyle w:val="Paragraphedeliste"/>
        <w:numPr>
          <w:ilvl w:val="0"/>
          <w:numId w:val="13"/>
        </w:numPr>
        <w:jc w:val="both"/>
      </w:pPr>
      <w:r w:rsidRPr="00A16566">
        <w:t>6 placeaux traités à 3 doses de CaSO4 </w:t>
      </w:r>
      <w:proofErr w:type="gramStart"/>
      <w:r w:rsidRPr="00A16566">
        <w:t>:  </w:t>
      </w:r>
      <w:r w:rsidRPr="00AB4A1D">
        <w:t>EpXsF2</w:t>
      </w:r>
      <w:proofErr w:type="gramEnd"/>
      <w:r w:rsidRPr="00AB4A1D">
        <w:t>_I_A4</w:t>
      </w:r>
      <w:r w:rsidRPr="00A16566">
        <w:t xml:space="preserve">, </w:t>
      </w:r>
      <w:r w:rsidRPr="00AB4A1D">
        <w:t>EpXsF2_II_C8</w:t>
      </w:r>
      <w:r w:rsidRPr="00A16566">
        <w:t xml:space="preserve">, </w:t>
      </w:r>
      <w:r w:rsidRPr="00AB4A1D">
        <w:t>EpXsF2_I_C3</w:t>
      </w:r>
      <w:r w:rsidRPr="00A16566">
        <w:t xml:space="preserve">, </w:t>
      </w:r>
      <w:r w:rsidRPr="00AB4A1D">
        <w:t>EpXsF2_II_B8</w:t>
      </w:r>
      <w:r w:rsidRPr="00A16566">
        <w:t xml:space="preserve">, </w:t>
      </w:r>
      <w:r w:rsidRPr="00AB4A1D">
        <w:t>EpXsF2_I_D2</w:t>
      </w:r>
      <w:r w:rsidRPr="00A16566">
        <w:t xml:space="preserve"> et </w:t>
      </w:r>
      <w:r w:rsidRPr="00AB4A1D">
        <w:t>EpXsF2_II_A7</w:t>
      </w:r>
    </w:p>
    <w:p w:rsidR="00364A1C" w:rsidRDefault="00364A1C" w:rsidP="00364A1C">
      <w:pPr>
        <w:pStyle w:val="Paragraphedeliste"/>
        <w:numPr>
          <w:ilvl w:val="0"/>
          <w:numId w:val="13"/>
        </w:numPr>
        <w:jc w:val="both"/>
      </w:pPr>
      <w:r w:rsidRPr="00A16566">
        <w:t xml:space="preserve">4 placeaux traités à 2 doses de CaMg : </w:t>
      </w:r>
      <w:r w:rsidRPr="00AB4A1D">
        <w:t>EpXsF2_I_B10</w:t>
      </w:r>
      <w:r w:rsidRPr="00A16566">
        <w:t xml:space="preserve">, </w:t>
      </w:r>
      <w:r w:rsidRPr="00AB4A1D">
        <w:t>EpXsF2_II_B13</w:t>
      </w:r>
      <w:r w:rsidRPr="00A16566">
        <w:t xml:space="preserve">, </w:t>
      </w:r>
      <w:r w:rsidRPr="00AB4A1D">
        <w:t>EpXsF2_I_B11</w:t>
      </w:r>
      <w:r w:rsidRPr="00A16566">
        <w:t xml:space="preserve"> et </w:t>
      </w:r>
      <w:r w:rsidRPr="00AB4A1D">
        <w:t>EpXsF2_II_A11</w:t>
      </w:r>
    </w:p>
    <w:p w:rsidR="00364A1C" w:rsidRPr="00A16566" w:rsidRDefault="00746DAC" w:rsidP="00364A1C">
      <w:pPr>
        <w:pStyle w:val="Paragraphedeliste"/>
        <w:numPr>
          <w:ilvl w:val="0"/>
          <w:numId w:val="13"/>
        </w:numPr>
        <w:jc w:val="both"/>
      </w:pPr>
      <w:r>
        <w:t xml:space="preserve"> </w:t>
      </w:r>
    </w:p>
    <w:p w:rsidR="009E37AC" w:rsidRDefault="009E37AC" w:rsidP="00334642">
      <w:pPr>
        <w:jc w:val="both"/>
      </w:pPr>
      <w:r>
        <w:t xml:space="preserve">Le tableau ci-dessous résume les opérations effectuées sur </w:t>
      </w:r>
      <w:r w:rsidR="00746DAC">
        <w:t>les 50 placeaux</w:t>
      </w:r>
      <w:r>
        <w:t> :</w:t>
      </w:r>
    </w:p>
    <w:p w:rsidR="009E37AC" w:rsidRDefault="009E37AC" w:rsidP="00334642">
      <w:pPr>
        <w:jc w:val="both"/>
      </w:pPr>
    </w:p>
    <w:tbl>
      <w:tblPr>
        <w:tblW w:w="72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820"/>
        <w:gridCol w:w="820"/>
        <w:gridCol w:w="820"/>
        <w:gridCol w:w="820"/>
        <w:gridCol w:w="820"/>
        <w:gridCol w:w="1431"/>
        <w:gridCol w:w="1225"/>
      </w:tblGrid>
      <w:tr w:rsidR="009E37AC" w:rsidRPr="009E37AC" w:rsidTr="00364A1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Placeau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flo</w:t>
            </w:r>
            <w:proofErr w:type="spellEnd"/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1990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flo</w:t>
            </w:r>
            <w:proofErr w:type="spellEnd"/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1993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flo</w:t>
            </w:r>
            <w:proofErr w:type="spellEnd"/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1998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flo</w:t>
            </w:r>
            <w:proofErr w:type="spellEnd"/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flo</w:t>
            </w:r>
            <w:proofErr w:type="spellEnd"/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2003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364A1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Dendrométrie + carottage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1C" w:rsidRDefault="00364A1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Dendro</w:t>
            </w:r>
          </w:p>
          <w:p w:rsidR="009E37AC" w:rsidRPr="009E37AC" w:rsidRDefault="00364A1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chronologie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D3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37AC" w:rsidRPr="009E37AC" w:rsidTr="00364A1C">
        <w:trPr>
          <w:trHeight w:val="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37AC" w:rsidRPr="009E37AC" w:rsidTr="00364A1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AC" w:rsidRPr="009E37AC" w:rsidRDefault="009E37AC" w:rsidP="009E37A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7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</w:tbl>
    <w:p w:rsidR="007B2F5D" w:rsidRPr="00AB4A1D" w:rsidRDefault="007B2F5D" w:rsidP="00334642">
      <w:pPr>
        <w:jc w:val="both"/>
      </w:pPr>
    </w:p>
    <w:p w:rsidR="007B2F5D" w:rsidRPr="008E4DB2" w:rsidRDefault="007B2F5D" w:rsidP="00334642">
      <w:pPr>
        <w:jc w:val="both"/>
        <w:rPr>
          <w:i/>
        </w:rPr>
      </w:pPr>
    </w:p>
    <w:p w:rsidR="007B2F5D" w:rsidRPr="008E4DB2" w:rsidRDefault="007B2F5D" w:rsidP="00334642">
      <w:pPr>
        <w:jc w:val="both"/>
        <w:rPr>
          <w:i/>
        </w:rPr>
      </w:pPr>
    </w:p>
    <w:p w:rsidR="007B2F5D" w:rsidRPr="008E4DB2" w:rsidRDefault="007B2F5D" w:rsidP="00334642">
      <w:pPr>
        <w:jc w:val="both"/>
        <w:rPr>
          <w:i/>
        </w:rPr>
      </w:pPr>
    </w:p>
    <w:p w:rsidR="00334642" w:rsidRPr="008E4DB2" w:rsidRDefault="00334642" w:rsidP="00334642">
      <w:pPr>
        <w:rPr>
          <w:i/>
        </w:rPr>
      </w:pPr>
    </w:p>
    <w:p w:rsidR="00334642" w:rsidRPr="008E4DB2" w:rsidRDefault="00334642" w:rsidP="00334642">
      <w:pPr>
        <w:tabs>
          <w:tab w:val="left" w:pos="1134"/>
        </w:tabs>
        <w:ind w:left="1276"/>
        <w:rPr>
          <w:i/>
        </w:rPr>
      </w:pPr>
    </w:p>
    <w:p w:rsidR="005847A0" w:rsidRPr="001C56E1" w:rsidRDefault="00797438" w:rsidP="001C56E1">
      <w:pPr>
        <w:numPr>
          <w:ilvl w:val="0"/>
          <w:numId w:val="1"/>
        </w:numPr>
        <w:tabs>
          <w:tab w:val="clear" w:pos="720"/>
          <w:tab w:val="num" w:pos="1276"/>
        </w:tabs>
        <w:spacing w:after="200" w:line="276" w:lineRule="auto"/>
        <w:ind w:left="1276" w:hanging="283"/>
        <w:jc w:val="both"/>
        <w:rPr>
          <w:b/>
          <w:sz w:val="28"/>
          <w:szCs w:val="28"/>
          <w:u w:val="single"/>
        </w:rPr>
      </w:pPr>
      <w:r w:rsidRPr="00625A01">
        <w:rPr>
          <w:b/>
          <w:sz w:val="28"/>
          <w:szCs w:val="28"/>
          <w:u w:val="single"/>
        </w:rPr>
        <w:t>Arbres :</w:t>
      </w:r>
    </w:p>
    <w:p w:rsidR="00CD5B35" w:rsidRDefault="00CD5B35" w:rsidP="00625A01">
      <w:pPr>
        <w:spacing w:after="200" w:line="276" w:lineRule="auto"/>
        <w:ind w:left="1276"/>
        <w:jc w:val="both"/>
      </w:pPr>
      <w:r>
        <w:t>Sur 635 arbres, 632 ont été mesurés et carottés en octobre 2002 ou mars 2003</w:t>
      </w:r>
      <w:r w:rsidR="00BD5999">
        <w:t>.</w:t>
      </w:r>
      <w:r w:rsidR="00B33A54">
        <w:t xml:space="preserve"> </w:t>
      </w:r>
      <w:r w:rsidR="00BD5999">
        <w:t>O</w:t>
      </w:r>
      <w:r w:rsidR="00B33A54">
        <w:t>n a relevé pour chacun :</w:t>
      </w:r>
    </w:p>
    <w:p w:rsidR="00B33A54" w:rsidRDefault="00CD5B35" w:rsidP="00CD5B35">
      <w:pPr>
        <w:pStyle w:val="Paragraphedeliste"/>
        <w:numPr>
          <w:ilvl w:val="2"/>
          <w:numId w:val="1"/>
        </w:numPr>
        <w:spacing w:after="200" w:line="276" w:lineRule="auto"/>
        <w:jc w:val="both"/>
      </w:pPr>
      <w:r>
        <w:t xml:space="preserve"> </w:t>
      </w:r>
      <w:r w:rsidR="00B33A54">
        <w:t xml:space="preserve">Le </w:t>
      </w:r>
      <w:r>
        <w:t xml:space="preserve">Statut social </w:t>
      </w:r>
      <w:r w:rsidR="00CF09C0">
        <w:t>(</w:t>
      </w:r>
      <w:r>
        <w:t>EpXs</w:t>
      </w:r>
      <w:r w:rsidR="00CF09C0">
        <w:t>F2</w:t>
      </w:r>
      <w:r>
        <w:t>_Ss</w:t>
      </w:r>
      <w:r w:rsidR="00CF09C0">
        <w:t>)</w:t>
      </w:r>
      <w:r>
        <w:t xml:space="preserve"> 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1330"/>
        <w:gridCol w:w="1330"/>
      </w:tblGrid>
      <w:tr w:rsidR="00B33A54" w:rsidTr="009E37AC">
        <w:tc>
          <w:tcPr>
            <w:tcW w:w="4316" w:type="dxa"/>
            <w:shd w:val="clear" w:color="auto" w:fill="auto"/>
          </w:tcPr>
          <w:p w:rsidR="00B33A54" w:rsidRDefault="00B33A54" w:rsidP="009E37AC">
            <w:pPr>
              <w:jc w:val="center"/>
            </w:pPr>
            <w:r>
              <w:t>Intitulé</w:t>
            </w:r>
          </w:p>
        </w:tc>
        <w:tc>
          <w:tcPr>
            <w:tcW w:w="1330" w:type="dxa"/>
          </w:tcPr>
          <w:p w:rsidR="00B33A54" w:rsidRDefault="00B33A54" w:rsidP="009E37AC">
            <w:pPr>
              <w:jc w:val="center"/>
            </w:pPr>
            <w:r>
              <w:t>Code Picard</w:t>
            </w:r>
          </w:p>
        </w:tc>
        <w:tc>
          <w:tcPr>
            <w:tcW w:w="1330" w:type="dxa"/>
            <w:shd w:val="clear" w:color="auto" w:fill="auto"/>
          </w:tcPr>
          <w:p w:rsidR="00B33A54" w:rsidRDefault="00B33A54" w:rsidP="009E37AC">
            <w:pPr>
              <w:jc w:val="center"/>
            </w:pPr>
            <w:r>
              <w:t>Code base</w:t>
            </w:r>
          </w:p>
        </w:tc>
      </w:tr>
      <w:tr w:rsidR="00B33A54" w:rsidTr="009E37AC">
        <w:tc>
          <w:tcPr>
            <w:tcW w:w="4316" w:type="dxa"/>
            <w:shd w:val="clear" w:color="auto" w:fill="auto"/>
          </w:tcPr>
          <w:p w:rsidR="00B33A54" w:rsidRDefault="00B33A54" w:rsidP="009E37AC">
            <w:r>
              <w:t>prédominant</w:t>
            </w:r>
          </w:p>
        </w:tc>
        <w:tc>
          <w:tcPr>
            <w:tcW w:w="1330" w:type="dxa"/>
          </w:tcPr>
          <w:p w:rsidR="00B33A54" w:rsidRDefault="00B33A54" w:rsidP="009E37AC">
            <w:r>
              <w:t>DD</w:t>
            </w:r>
          </w:p>
        </w:tc>
        <w:tc>
          <w:tcPr>
            <w:tcW w:w="1330" w:type="dxa"/>
            <w:shd w:val="clear" w:color="auto" w:fill="auto"/>
          </w:tcPr>
          <w:p w:rsidR="00B33A54" w:rsidRDefault="00B33A54" w:rsidP="009E37AC">
            <w:r>
              <w:t>1</w:t>
            </w:r>
          </w:p>
        </w:tc>
      </w:tr>
      <w:tr w:rsidR="00B33A54" w:rsidTr="009E37AC">
        <w:tc>
          <w:tcPr>
            <w:tcW w:w="4316" w:type="dxa"/>
            <w:shd w:val="clear" w:color="auto" w:fill="auto"/>
          </w:tcPr>
          <w:p w:rsidR="00B33A54" w:rsidRDefault="00B33A54" w:rsidP="009E37AC">
            <w:r>
              <w:t>dominant</w:t>
            </w:r>
          </w:p>
        </w:tc>
        <w:tc>
          <w:tcPr>
            <w:tcW w:w="1330" w:type="dxa"/>
          </w:tcPr>
          <w:p w:rsidR="00B33A54" w:rsidRDefault="00B33A54" w:rsidP="009E37AC">
            <w:r>
              <w:t>D</w:t>
            </w:r>
          </w:p>
        </w:tc>
        <w:tc>
          <w:tcPr>
            <w:tcW w:w="1330" w:type="dxa"/>
            <w:shd w:val="clear" w:color="auto" w:fill="auto"/>
          </w:tcPr>
          <w:p w:rsidR="00B33A54" w:rsidRDefault="00B33A54" w:rsidP="009E37AC">
            <w:r>
              <w:t>2</w:t>
            </w:r>
          </w:p>
        </w:tc>
      </w:tr>
      <w:tr w:rsidR="00B33A54" w:rsidTr="009E37AC">
        <w:tc>
          <w:tcPr>
            <w:tcW w:w="4316" w:type="dxa"/>
            <w:shd w:val="clear" w:color="auto" w:fill="auto"/>
          </w:tcPr>
          <w:p w:rsidR="00B33A54" w:rsidRDefault="00B33A54" w:rsidP="009E37AC">
            <w:proofErr w:type="spellStart"/>
            <w:r>
              <w:t>codominant</w:t>
            </w:r>
            <w:proofErr w:type="spellEnd"/>
            <w:r>
              <w:t> </w:t>
            </w:r>
          </w:p>
        </w:tc>
        <w:tc>
          <w:tcPr>
            <w:tcW w:w="1330" w:type="dxa"/>
          </w:tcPr>
          <w:p w:rsidR="00B33A54" w:rsidRDefault="00B33A54" w:rsidP="009E37AC">
            <w:r>
              <w:t>CD</w:t>
            </w:r>
          </w:p>
        </w:tc>
        <w:tc>
          <w:tcPr>
            <w:tcW w:w="1330" w:type="dxa"/>
            <w:shd w:val="clear" w:color="auto" w:fill="auto"/>
          </w:tcPr>
          <w:p w:rsidR="00B33A54" w:rsidRDefault="00B33A54" w:rsidP="009E37AC">
            <w:r>
              <w:t>3</w:t>
            </w:r>
          </w:p>
        </w:tc>
      </w:tr>
      <w:tr w:rsidR="00B33A54" w:rsidTr="009E37AC">
        <w:tc>
          <w:tcPr>
            <w:tcW w:w="4316" w:type="dxa"/>
            <w:shd w:val="clear" w:color="auto" w:fill="auto"/>
          </w:tcPr>
          <w:p w:rsidR="00B33A54" w:rsidRDefault="00B33A54" w:rsidP="009E37AC">
            <w:proofErr w:type="spellStart"/>
            <w:r>
              <w:t>codominé</w:t>
            </w:r>
            <w:proofErr w:type="spellEnd"/>
          </w:p>
        </w:tc>
        <w:tc>
          <w:tcPr>
            <w:tcW w:w="1330" w:type="dxa"/>
          </w:tcPr>
          <w:p w:rsidR="00B33A54" w:rsidRDefault="00B33A54" w:rsidP="009E37AC">
            <w:r>
              <w:t>d/CD</w:t>
            </w:r>
          </w:p>
        </w:tc>
        <w:tc>
          <w:tcPr>
            <w:tcW w:w="1330" w:type="dxa"/>
            <w:shd w:val="clear" w:color="auto" w:fill="auto"/>
          </w:tcPr>
          <w:p w:rsidR="00B33A54" w:rsidRDefault="00B33A54" w:rsidP="009E37AC">
            <w:r>
              <w:t>34</w:t>
            </w:r>
          </w:p>
        </w:tc>
      </w:tr>
      <w:tr w:rsidR="00AD4597" w:rsidTr="009E37AC">
        <w:tc>
          <w:tcPr>
            <w:tcW w:w="4316" w:type="dxa"/>
            <w:shd w:val="clear" w:color="auto" w:fill="auto"/>
          </w:tcPr>
          <w:p w:rsidR="00AD4597" w:rsidRDefault="00AD4597" w:rsidP="009E37AC">
            <w:r>
              <w:t>dominé</w:t>
            </w:r>
          </w:p>
        </w:tc>
        <w:tc>
          <w:tcPr>
            <w:tcW w:w="1330" w:type="dxa"/>
          </w:tcPr>
          <w:p w:rsidR="00AD4597" w:rsidRDefault="00AD4597" w:rsidP="009E37AC">
            <w:r>
              <w:t>d</w:t>
            </w:r>
          </w:p>
        </w:tc>
        <w:tc>
          <w:tcPr>
            <w:tcW w:w="1330" w:type="dxa"/>
            <w:shd w:val="clear" w:color="auto" w:fill="auto"/>
          </w:tcPr>
          <w:p w:rsidR="00AD4597" w:rsidRDefault="00AD4597" w:rsidP="009E37AC">
            <w:r>
              <w:t>4</w:t>
            </w:r>
          </w:p>
        </w:tc>
      </w:tr>
    </w:tbl>
    <w:p w:rsidR="00B33A54" w:rsidRDefault="00B33A54" w:rsidP="00B33A54">
      <w:pPr>
        <w:pStyle w:val="Paragraphedeliste"/>
        <w:spacing w:after="200" w:line="276" w:lineRule="auto"/>
        <w:ind w:left="1211"/>
        <w:jc w:val="both"/>
      </w:pPr>
    </w:p>
    <w:p w:rsidR="00D178D4" w:rsidRPr="00BD5999" w:rsidRDefault="00B33A54" w:rsidP="00CF09C0">
      <w:pPr>
        <w:pStyle w:val="Paragraphedeliste"/>
        <w:numPr>
          <w:ilvl w:val="2"/>
          <w:numId w:val="1"/>
        </w:numPr>
        <w:spacing w:after="200" w:line="276" w:lineRule="auto"/>
        <w:jc w:val="both"/>
        <w:rPr>
          <w:b/>
          <w:u w:val="single"/>
        </w:rPr>
      </w:pPr>
      <w:r>
        <w:t xml:space="preserve">La circonférence </w:t>
      </w:r>
      <w:r w:rsidR="00CF09C0">
        <w:t>(</w:t>
      </w:r>
      <w:r w:rsidR="00CF09C0" w:rsidRPr="00CF09C0">
        <w:t>EpXsF2_C_1,30</w:t>
      </w:r>
      <w:r w:rsidR="00CF09C0">
        <w:t xml:space="preserve">) ; </w:t>
      </w:r>
      <w:r>
        <w:t xml:space="preserve">mesurée au mm avec une </w:t>
      </w:r>
      <w:proofErr w:type="spellStart"/>
      <w:r>
        <w:t>chevillère</w:t>
      </w:r>
      <w:proofErr w:type="spellEnd"/>
      <w:r>
        <w:t xml:space="preserve"> de cubage</w:t>
      </w:r>
      <w:r w:rsidR="00D178D4">
        <w:t>. Pour respecter l’homogénéité de la base, elle est exprimée en cm décimal.</w:t>
      </w:r>
    </w:p>
    <w:p w:rsidR="00BD5999" w:rsidRDefault="00BD5999" w:rsidP="00BD5999">
      <w:pPr>
        <w:pStyle w:val="Paragraphedeliste"/>
        <w:spacing w:after="200" w:line="276" w:lineRule="auto"/>
        <w:ind w:left="1211"/>
        <w:jc w:val="both"/>
        <w:rPr>
          <w:b/>
          <w:sz w:val="28"/>
          <w:szCs w:val="28"/>
          <w:u w:val="single"/>
        </w:rPr>
      </w:pPr>
    </w:p>
    <w:p w:rsidR="00797438" w:rsidRPr="00BD5999" w:rsidRDefault="00BD5999" w:rsidP="00BD5999">
      <w:pPr>
        <w:numPr>
          <w:ilvl w:val="0"/>
          <w:numId w:val="1"/>
        </w:numPr>
        <w:tabs>
          <w:tab w:val="clear" w:pos="720"/>
          <w:tab w:val="num" w:pos="1276"/>
        </w:tabs>
        <w:spacing w:after="200" w:line="276" w:lineRule="auto"/>
        <w:ind w:left="1276" w:hanging="28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Dendrochronologie</w:t>
      </w:r>
      <w:r w:rsidRPr="00625A01">
        <w:rPr>
          <w:b/>
          <w:sz w:val="28"/>
          <w:szCs w:val="28"/>
          <w:u w:val="single"/>
        </w:rPr>
        <w:t> :</w:t>
      </w:r>
    </w:p>
    <w:p w:rsidR="00797438" w:rsidRPr="008E4DB2" w:rsidRDefault="00797438" w:rsidP="00797438">
      <w:pPr>
        <w:ind w:left="567"/>
        <w:jc w:val="both"/>
        <w:rPr>
          <w:i/>
        </w:rPr>
      </w:pPr>
    </w:p>
    <w:p w:rsidR="00CD5B35" w:rsidRDefault="00D178D4" w:rsidP="00BD5999">
      <w:pPr>
        <w:pStyle w:val="Paragraphedeliste"/>
        <w:spacing w:after="200" w:line="276" w:lineRule="auto"/>
        <w:ind w:left="1211"/>
        <w:jc w:val="both"/>
      </w:pPr>
      <w:r>
        <w:t>374 épicéas alimentent cette étude. Ils ont</w:t>
      </w:r>
      <w:r w:rsidRPr="001C56E1">
        <w:t xml:space="preserve"> été carotté</w:t>
      </w:r>
      <w:r w:rsidR="00BD5999">
        <w:t>s</w:t>
      </w:r>
      <w:r w:rsidRPr="001C56E1">
        <w:t xml:space="preserve"> </w:t>
      </w:r>
      <w:r>
        <w:t>à raison d’une carotte par arbre,</w:t>
      </w:r>
      <w:r w:rsidRPr="001C56E1">
        <w:t xml:space="preserve"> du 23 au 25 octobre 2002 par Picard, Kieffer et Schipfer. Les arbres dont le n° est pair ont été carottés de l’est vers l’ouest et les autres, dans l’autre sens, sauf cas exceptionnel de pourriture ou de gros défaut. </w:t>
      </w:r>
      <w:r>
        <w:t>Un autre lot d’épicéas a été carotté</w:t>
      </w:r>
      <w:r w:rsidRPr="001C56E1">
        <w:t xml:space="preserve"> les 13 et 14 mars 200</w:t>
      </w:r>
      <w:r>
        <w:t xml:space="preserve">3 par Picard, Kieffer et </w:t>
      </w:r>
      <w:r w:rsidR="00BD5234">
        <w:t>Badeau, mais n’a pas été mesuré</w:t>
      </w:r>
      <w:r>
        <w:t>. Il concerne les traitements CaCO3, CaSO4, CaMg et</w:t>
      </w:r>
      <w:r w:rsidRPr="001C56E1">
        <w:t xml:space="preserve"> les placeaux A5, A9, A10, B1, B2, B5, B6, B9, C2, C7, D3, D6, E3, E6, E9, E10.</w:t>
      </w:r>
    </w:p>
    <w:p w:rsidR="00BD5999" w:rsidRDefault="00BD5999" w:rsidP="00BD5999">
      <w:pPr>
        <w:pStyle w:val="Paragraphedeliste"/>
        <w:spacing w:after="200" w:line="276" w:lineRule="auto"/>
        <w:ind w:left="1211"/>
        <w:jc w:val="both"/>
      </w:pPr>
    </w:p>
    <w:p w:rsidR="00D62B21" w:rsidRDefault="00BD5999" w:rsidP="00BD5999">
      <w:pPr>
        <w:pStyle w:val="Paragraphedeliste"/>
        <w:numPr>
          <w:ilvl w:val="0"/>
          <w:numId w:val="3"/>
        </w:numPr>
        <w:tabs>
          <w:tab w:val="clear" w:pos="2136"/>
        </w:tabs>
        <w:ind w:left="1276" w:hanging="425"/>
      </w:pPr>
      <w:r>
        <w:t>Christian Kieffer a mesuré</w:t>
      </w:r>
      <w:r w:rsidR="006D36C0">
        <w:t xml:space="preserve"> </w:t>
      </w:r>
      <w:r>
        <w:t xml:space="preserve">les </w:t>
      </w:r>
      <w:r w:rsidR="006D36C0">
        <w:t>374 carottes des placeaux A2, A3, A4, A6, A7, A11, B8, B10, B11,  B12, B13, C1, C3, C5, C8, C10, C11, C13, D1, D2, D4,D5, E11</w:t>
      </w:r>
      <w:r w:rsidR="001F5307">
        <w:t xml:space="preserve">. </w:t>
      </w:r>
    </w:p>
    <w:p w:rsidR="00E37A5A" w:rsidRDefault="00E37A5A" w:rsidP="00BD5999">
      <w:pPr>
        <w:pStyle w:val="Paragraphedeliste"/>
        <w:numPr>
          <w:ilvl w:val="0"/>
          <w:numId w:val="3"/>
        </w:numPr>
        <w:tabs>
          <w:tab w:val="clear" w:pos="2136"/>
        </w:tabs>
        <w:ind w:left="1276" w:hanging="425"/>
        <w:jc w:val="both"/>
      </w:pPr>
      <w:r w:rsidRPr="00E37A5A">
        <w:t xml:space="preserve">Les interdatations ont été effectuées par Jean François Picard au moyen du programme ad hoc élaboré par Michel Becker. En avril 2013, préalablement à l’intégration des largeurs de cernes dans la base de données, François Gérémia a ré-effectué l’interdatation avec le programme de Jean-Luc Dupouey qui offre plus de fonctionnalités, notamment par la souplesse de choix des séries de références. Seules les </w:t>
      </w:r>
      <w:r w:rsidR="001531FF">
        <w:t>co</w:t>
      </w:r>
      <w:r w:rsidR="00B95461">
        <w:t>u</w:t>
      </w:r>
      <w:r w:rsidR="001531FF">
        <w:t xml:space="preserve">rbes des </w:t>
      </w:r>
      <w:r w:rsidRPr="00E37A5A">
        <w:t xml:space="preserve">carottes présentant moins de 61% d’évolution interannuelles similaires à la courbe moyenne </w:t>
      </w:r>
      <w:r w:rsidR="001531FF">
        <w:t>de l’échantillon ont été analysées.</w:t>
      </w:r>
    </w:p>
    <w:p w:rsidR="001531FF" w:rsidRDefault="001531FF" w:rsidP="00BD5999">
      <w:pPr>
        <w:pStyle w:val="Paragraphedeliste"/>
        <w:ind w:left="1276"/>
        <w:jc w:val="both"/>
      </w:pPr>
      <w:r>
        <w:t>La carotte EpXsF2_II_B13_2 n’a pu être correctement interdatée malgré une deuxième mesure qui fait apparaître 2 cernes de plus au 3</w:t>
      </w:r>
      <w:r w:rsidRPr="001531FF">
        <w:rPr>
          <w:vertAlign w:val="superscript"/>
        </w:rPr>
        <w:t>ème</w:t>
      </w:r>
      <w:r>
        <w:t xml:space="preserve"> millénaire.</w:t>
      </w:r>
    </w:p>
    <w:p w:rsidR="00E37A5A" w:rsidRDefault="00E37A5A" w:rsidP="00BD5999">
      <w:pPr>
        <w:ind w:left="2124" w:hanging="860"/>
      </w:pPr>
      <w:r>
        <w:t>Modifications effectuées :</w:t>
      </w:r>
    </w:p>
    <w:p w:rsidR="00521E7F" w:rsidRPr="000C3A09" w:rsidRDefault="00521E7F" w:rsidP="00BD5999">
      <w:pPr>
        <w:pStyle w:val="Paragraphedeliste"/>
        <w:numPr>
          <w:ilvl w:val="0"/>
          <w:numId w:val="11"/>
        </w:numPr>
        <w:ind w:hanging="860"/>
      </w:pPr>
      <w:r w:rsidRPr="00E37A5A">
        <w:rPr>
          <w:lang w:val="en-US"/>
        </w:rPr>
        <w:t>EpXsF2_I_</w:t>
      </w:r>
      <w:r>
        <w:rPr>
          <w:lang w:val="en-US"/>
        </w:rPr>
        <w:t>A4_17 : 1 cm en 1990</w:t>
      </w:r>
    </w:p>
    <w:p w:rsidR="00521E7F" w:rsidRDefault="00521E7F" w:rsidP="00BD5999">
      <w:pPr>
        <w:pStyle w:val="Paragraphedeliste"/>
        <w:numPr>
          <w:ilvl w:val="0"/>
          <w:numId w:val="11"/>
        </w:numPr>
        <w:ind w:hanging="860"/>
        <w:rPr>
          <w:lang w:val="en-US"/>
        </w:rPr>
      </w:pPr>
      <w:r w:rsidRPr="00E37A5A">
        <w:rPr>
          <w:lang w:val="en-US"/>
        </w:rPr>
        <w:t>EpXsF2_I_B10_15 : 1cm en 1987</w:t>
      </w:r>
    </w:p>
    <w:p w:rsidR="00521E7F" w:rsidRPr="001531FF" w:rsidRDefault="00521E7F" w:rsidP="00BD5999">
      <w:pPr>
        <w:pStyle w:val="Paragraphedeliste"/>
        <w:numPr>
          <w:ilvl w:val="0"/>
          <w:numId w:val="11"/>
        </w:numPr>
        <w:ind w:hanging="860"/>
      </w:pPr>
      <w:r w:rsidRPr="001531FF">
        <w:t>EpXsF2_I_B12_3 : 9 cm de 1994 à 2002</w:t>
      </w:r>
    </w:p>
    <w:p w:rsidR="00E37A5A" w:rsidRDefault="00E37A5A" w:rsidP="00BD5999">
      <w:pPr>
        <w:pStyle w:val="Paragraphedeliste"/>
        <w:numPr>
          <w:ilvl w:val="0"/>
          <w:numId w:val="11"/>
        </w:numPr>
        <w:ind w:hanging="860"/>
      </w:pPr>
      <w:r w:rsidRPr="00E37A5A">
        <w:t>EpXsF2_II_A11_17 : 1 cm en 1991</w:t>
      </w:r>
    </w:p>
    <w:p w:rsidR="00E37A5A" w:rsidRDefault="00E37A5A" w:rsidP="00BD5999">
      <w:pPr>
        <w:pStyle w:val="Paragraphedeliste"/>
        <w:numPr>
          <w:ilvl w:val="0"/>
          <w:numId w:val="11"/>
        </w:numPr>
        <w:ind w:hanging="860"/>
      </w:pPr>
      <w:r>
        <w:t>EpXsF2</w:t>
      </w:r>
      <w:r w:rsidRPr="00E37A5A">
        <w:t>_I</w:t>
      </w:r>
      <w:r w:rsidR="008E350D">
        <w:t>_C10_3 : 1 cm en 1976</w:t>
      </w:r>
    </w:p>
    <w:p w:rsidR="000C3A09" w:rsidRDefault="00CF29D0" w:rsidP="00BD5999">
      <w:pPr>
        <w:pStyle w:val="Paragraphedeliste"/>
        <w:numPr>
          <w:ilvl w:val="0"/>
          <w:numId w:val="11"/>
        </w:numPr>
        <w:ind w:hanging="860"/>
      </w:pPr>
      <w:r w:rsidRPr="00E37A5A">
        <w:t>EpXsF2_II_</w:t>
      </w:r>
      <w:r>
        <w:t>C8_11 : 1 cm en 1962</w:t>
      </w:r>
    </w:p>
    <w:p w:rsidR="00BD387F" w:rsidRDefault="00BD387F" w:rsidP="00BD5999">
      <w:pPr>
        <w:pStyle w:val="Paragraphedeliste"/>
        <w:numPr>
          <w:ilvl w:val="0"/>
          <w:numId w:val="11"/>
        </w:numPr>
        <w:ind w:hanging="860"/>
      </w:pPr>
      <w:r w:rsidRPr="00E37A5A">
        <w:t>EpXsF2_II_</w:t>
      </w:r>
      <w:r>
        <w:t>D5_19 : 1 cm en 2002</w:t>
      </w:r>
    </w:p>
    <w:p w:rsidR="00797438" w:rsidRPr="003236F5" w:rsidRDefault="00797438" w:rsidP="003236F5">
      <w:pPr>
        <w:pStyle w:val="Paragraphedeliste"/>
        <w:ind w:left="3555"/>
      </w:pPr>
    </w:p>
    <w:p w:rsidR="00797438" w:rsidRPr="000B6149" w:rsidRDefault="00797438" w:rsidP="00797438">
      <w:pPr>
        <w:numPr>
          <w:ilvl w:val="0"/>
          <w:numId w:val="5"/>
        </w:numPr>
        <w:tabs>
          <w:tab w:val="left" w:pos="709"/>
        </w:tabs>
        <w:spacing w:after="200" w:line="276" w:lineRule="auto"/>
        <w:ind w:left="1276" w:hanging="283"/>
        <w:jc w:val="both"/>
        <w:rPr>
          <w:b/>
          <w:u w:val="single"/>
        </w:rPr>
      </w:pPr>
      <w:r w:rsidRPr="000B6149">
        <w:rPr>
          <w:b/>
          <w:u w:val="single"/>
        </w:rPr>
        <w:t>Floristique :</w:t>
      </w:r>
    </w:p>
    <w:p w:rsidR="00797438" w:rsidRPr="008E4DB2" w:rsidRDefault="00797438" w:rsidP="00797438">
      <w:pPr>
        <w:ind w:left="720"/>
        <w:jc w:val="both"/>
        <w:rPr>
          <w:i/>
        </w:rPr>
      </w:pPr>
    </w:p>
    <w:p w:rsidR="006E5132" w:rsidRPr="00B95461" w:rsidRDefault="006E5132" w:rsidP="006E5132">
      <w:pPr>
        <w:numPr>
          <w:ilvl w:val="0"/>
          <w:numId w:val="5"/>
        </w:numPr>
        <w:rPr>
          <w:b/>
          <w:u w:val="single"/>
        </w:rPr>
      </w:pPr>
      <w:r w:rsidRPr="006E5132">
        <w:rPr>
          <w:b/>
          <w:u w:val="single"/>
        </w:rPr>
        <w:t>Fichier floristique :</w:t>
      </w:r>
      <w:r w:rsidRPr="006E5132">
        <w:t xml:space="preserve"> </w:t>
      </w:r>
      <w:r>
        <w:t>EpXsF2</w:t>
      </w:r>
      <w:r w:rsidRPr="006E5132">
        <w:t>_flo_pour_BDD</w:t>
      </w:r>
    </w:p>
    <w:p w:rsidR="00B95461" w:rsidRDefault="00B95461" w:rsidP="00B95461">
      <w:pPr>
        <w:pStyle w:val="Paragraphedeliste"/>
        <w:rPr>
          <w:b/>
          <w:u w:val="single"/>
        </w:rPr>
      </w:pPr>
    </w:p>
    <w:p w:rsidR="00B95461" w:rsidRPr="006E5132" w:rsidRDefault="005A70C4" w:rsidP="00BD5999">
      <w:pPr>
        <w:numPr>
          <w:ilvl w:val="0"/>
          <w:numId w:val="4"/>
        </w:numPr>
        <w:jc w:val="both"/>
      </w:pPr>
      <w:r>
        <w:t>Franç</w:t>
      </w:r>
      <w:r w:rsidR="00BD5999">
        <w:t>o</w:t>
      </w:r>
      <w:r w:rsidR="00234E6A">
        <w:t>is G</w:t>
      </w:r>
      <w:r>
        <w:t xml:space="preserve">érémia a reconstitué </w:t>
      </w:r>
      <w:r w:rsidR="00B95461">
        <w:t>5</w:t>
      </w:r>
      <w:r w:rsidR="00B95461" w:rsidRPr="006E5132">
        <w:t xml:space="preserve"> tableau</w:t>
      </w:r>
      <w:r w:rsidR="00B95461">
        <w:t>x</w:t>
      </w:r>
      <w:r w:rsidR="00B95461" w:rsidRPr="006E5132">
        <w:t xml:space="preserve"> floristique</w:t>
      </w:r>
      <w:r w:rsidR="00B95461">
        <w:t>s des années 1990, 199</w:t>
      </w:r>
      <w:r>
        <w:t>3, 1998, 2001 et 2003</w:t>
      </w:r>
      <w:r w:rsidR="00B95461" w:rsidRPr="006E5132">
        <w:t xml:space="preserve"> à partir des fiches de terrain</w:t>
      </w:r>
      <w:r w:rsidR="00B95461">
        <w:t xml:space="preserve"> pour les 2 premières années et à partir des f</w:t>
      </w:r>
      <w:r>
        <w:t>ichiers informatiques pour les 3</w:t>
      </w:r>
      <w:r w:rsidR="00B95461">
        <w:t xml:space="preserve"> années suivantes.</w:t>
      </w:r>
      <w:r w:rsidR="00772030">
        <w:t xml:space="preserve"> En 2003, les placettes </w:t>
      </w:r>
      <w:r w:rsidR="00772030" w:rsidRPr="00772030">
        <w:t>EpXsF2_I_D9</w:t>
      </w:r>
      <w:r w:rsidR="00772030">
        <w:t xml:space="preserve"> et </w:t>
      </w:r>
      <w:r w:rsidR="00772030" w:rsidRPr="00772030">
        <w:t>EpXsF2_I_D</w:t>
      </w:r>
      <w:r w:rsidR="00BD5999">
        <w:t>1</w:t>
      </w:r>
      <w:r w:rsidR="00BD5234">
        <w:t>1</w:t>
      </w:r>
      <w:r w:rsidR="00234E42">
        <w:t xml:space="preserve"> </w:t>
      </w:r>
      <w:r w:rsidR="00772030">
        <w:t>n’ont pas été inventoriées.</w:t>
      </w:r>
    </w:p>
    <w:p w:rsidR="005A70C4" w:rsidRPr="005A70C4" w:rsidRDefault="00B95461" w:rsidP="00BD599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t xml:space="preserve">Relevé selon la méthode Zuricho-Montpelliéraine, Braun Blanquet 1932. </w:t>
      </w:r>
    </w:p>
    <w:p w:rsidR="00B95461" w:rsidRPr="005A70C4" w:rsidRDefault="00B95461" w:rsidP="00BD599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6E5132">
        <w:t xml:space="preserve">Les espèces sont désignées dans la base par le référentiel de la BDNFF5 </w:t>
      </w:r>
      <w:r w:rsidRPr="005A70C4">
        <w:t xml:space="preserve">pour les spermaphytes, et la BDNBE1 pour les </w:t>
      </w:r>
      <w:proofErr w:type="spellStart"/>
      <w:r w:rsidRPr="005A70C4">
        <w:t>Hepaticophyta</w:t>
      </w:r>
      <w:proofErr w:type="spellEnd"/>
      <w:r w:rsidRPr="005A70C4">
        <w:t xml:space="preserve"> et les </w:t>
      </w:r>
      <w:proofErr w:type="spellStart"/>
      <w:r w:rsidRPr="005A70C4">
        <w:lastRenderedPageBreak/>
        <w:t>Bryophyta</w:t>
      </w:r>
      <w:proofErr w:type="spellEnd"/>
      <w:r w:rsidRPr="005A70C4">
        <w:t xml:space="preserve">. Une mousse n’a pu être déterminée. François Gérémia a choisi arbitrairement de la nommer Hypnum </w:t>
      </w:r>
      <w:proofErr w:type="spellStart"/>
      <w:proofErr w:type="gramStart"/>
      <w:r w:rsidRPr="005A70C4">
        <w:t>sp</w:t>
      </w:r>
      <w:proofErr w:type="spellEnd"/>
      <w:r w:rsidRPr="005A70C4">
        <w:t>.,</w:t>
      </w:r>
      <w:proofErr w:type="gramEnd"/>
      <w:r w:rsidRPr="005A70C4">
        <w:rPr>
          <w:color w:val="000000"/>
        </w:rPr>
        <w:t xml:space="preserve">  affectée de la note CONFERE n°4, qui signale une incertitude sur l’ensemble du taxon.</w:t>
      </w:r>
    </w:p>
    <w:p w:rsidR="00B95461" w:rsidRPr="008E4DB2" w:rsidRDefault="00B95461" w:rsidP="00BD5999">
      <w:pPr>
        <w:ind w:left="1416" w:firstLine="708"/>
        <w:rPr>
          <w:i/>
        </w:rPr>
      </w:pPr>
    </w:p>
    <w:p w:rsidR="00B95461" w:rsidRDefault="00B95461" w:rsidP="00B95461">
      <w:pPr>
        <w:numPr>
          <w:ilvl w:val="0"/>
          <w:numId w:val="4"/>
        </w:numPr>
        <w:spacing w:after="200" w:line="276" w:lineRule="auto"/>
        <w:jc w:val="both"/>
      </w:pPr>
      <w:r>
        <w:t xml:space="preserve">Singularités : </w:t>
      </w:r>
    </w:p>
    <w:tbl>
      <w:tblPr>
        <w:tblW w:w="0" w:type="auto"/>
        <w:tblInd w:w="1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1314"/>
      </w:tblGrid>
      <w:tr w:rsidR="004C697B" w:rsidTr="009E37AC">
        <w:tc>
          <w:tcPr>
            <w:tcW w:w="4606" w:type="dxa"/>
            <w:shd w:val="clear" w:color="auto" w:fill="auto"/>
          </w:tcPr>
          <w:p w:rsidR="004C697B" w:rsidRDefault="004C697B" w:rsidP="009E37AC">
            <w:r>
              <w:t>intitulé</w:t>
            </w:r>
          </w:p>
        </w:tc>
        <w:tc>
          <w:tcPr>
            <w:tcW w:w="1314" w:type="dxa"/>
            <w:shd w:val="clear" w:color="auto" w:fill="auto"/>
          </w:tcPr>
          <w:p w:rsidR="004C697B" w:rsidRDefault="004C697B" w:rsidP="009E37AC">
            <w:r>
              <w:t>abréviation</w:t>
            </w:r>
          </w:p>
        </w:tc>
      </w:tr>
      <w:tr w:rsidR="004C697B" w:rsidTr="009E37AC">
        <w:tc>
          <w:tcPr>
            <w:tcW w:w="4606" w:type="dxa"/>
            <w:shd w:val="clear" w:color="auto" w:fill="auto"/>
          </w:tcPr>
          <w:p w:rsidR="004C697B" w:rsidRPr="00234E42" w:rsidRDefault="004C697B" w:rsidP="009E37AC">
            <w:r w:rsidRPr="00234E42">
              <w:t>rejet</w:t>
            </w:r>
          </w:p>
        </w:tc>
        <w:tc>
          <w:tcPr>
            <w:tcW w:w="1314" w:type="dxa"/>
            <w:shd w:val="clear" w:color="auto" w:fill="auto"/>
          </w:tcPr>
          <w:p w:rsidR="004C697B" w:rsidRPr="00234E42" w:rsidRDefault="004C697B" w:rsidP="009E37AC">
            <w:r w:rsidRPr="00234E42">
              <w:t>R</w:t>
            </w:r>
          </w:p>
        </w:tc>
      </w:tr>
      <w:tr w:rsidR="002348D9" w:rsidTr="009E37AC">
        <w:tc>
          <w:tcPr>
            <w:tcW w:w="4606" w:type="dxa"/>
            <w:shd w:val="clear" w:color="auto" w:fill="auto"/>
          </w:tcPr>
          <w:p w:rsidR="002348D9" w:rsidRPr="00234E42" w:rsidRDefault="002348D9" w:rsidP="009E37AC">
            <w:r w:rsidRPr="00234E42">
              <w:t>mort</w:t>
            </w:r>
          </w:p>
        </w:tc>
        <w:tc>
          <w:tcPr>
            <w:tcW w:w="1314" w:type="dxa"/>
            <w:shd w:val="clear" w:color="auto" w:fill="auto"/>
          </w:tcPr>
          <w:p w:rsidR="002348D9" w:rsidRPr="00234E42" w:rsidRDefault="002348D9" w:rsidP="009E37AC">
            <w:r w:rsidRPr="00234E42">
              <w:t>M</w:t>
            </w:r>
          </w:p>
        </w:tc>
      </w:tr>
      <w:tr w:rsidR="00CA70BC" w:rsidTr="009E37AC">
        <w:tc>
          <w:tcPr>
            <w:tcW w:w="4606" w:type="dxa"/>
            <w:shd w:val="clear" w:color="auto" w:fill="auto"/>
          </w:tcPr>
          <w:p w:rsidR="00CA70BC" w:rsidRPr="00234E42" w:rsidRDefault="00CA70BC" w:rsidP="009E37AC">
            <w:r w:rsidRPr="00234E42">
              <w:t>En dessèchement</w:t>
            </w:r>
          </w:p>
        </w:tc>
        <w:tc>
          <w:tcPr>
            <w:tcW w:w="1314" w:type="dxa"/>
            <w:shd w:val="clear" w:color="auto" w:fill="auto"/>
          </w:tcPr>
          <w:p w:rsidR="00CA70BC" w:rsidRPr="00234E42" w:rsidRDefault="00CA70BC" w:rsidP="009E37AC">
            <w:r w:rsidRPr="00234E42">
              <w:t>Des</w:t>
            </w:r>
          </w:p>
        </w:tc>
      </w:tr>
      <w:tr w:rsidR="004C697B" w:rsidTr="009E37AC">
        <w:tc>
          <w:tcPr>
            <w:tcW w:w="4606" w:type="dxa"/>
            <w:shd w:val="clear" w:color="auto" w:fill="auto"/>
          </w:tcPr>
          <w:p w:rsidR="004C697B" w:rsidRPr="00234E42" w:rsidRDefault="004C697B" w:rsidP="009E37AC">
            <w:r w:rsidRPr="00234E42">
              <w:t>chemin, sentier, piste de débardage</w:t>
            </w:r>
          </w:p>
        </w:tc>
        <w:tc>
          <w:tcPr>
            <w:tcW w:w="1314" w:type="dxa"/>
            <w:shd w:val="clear" w:color="auto" w:fill="auto"/>
          </w:tcPr>
          <w:p w:rsidR="004C697B" w:rsidRPr="00234E42" w:rsidRDefault="004C697B" w:rsidP="009E37AC">
            <w:r w:rsidRPr="00234E42">
              <w:t>Ch</w:t>
            </w:r>
          </w:p>
        </w:tc>
      </w:tr>
      <w:tr w:rsidR="004C697B" w:rsidTr="009E37AC">
        <w:tc>
          <w:tcPr>
            <w:tcW w:w="4606" w:type="dxa"/>
            <w:shd w:val="clear" w:color="auto" w:fill="auto"/>
          </w:tcPr>
          <w:p w:rsidR="004C697B" w:rsidRPr="00234E42" w:rsidRDefault="004C697B" w:rsidP="009E37AC">
            <w:r w:rsidRPr="00234E42">
              <w:t>Bois</w:t>
            </w:r>
          </w:p>
        </w:tc>
        <w:tc>
          <w:tcPr>
            <w:tcW w:w="1314" w:type="dxa"/>
            <w:shd w:val="clear" w:color="auto" w:fill="auto"/>
          </w:tcPr>
          <w:p w:rsidR="004C697B" w:rsidRPr="00234E42" w:rsidRDefault="004C697B" w:rsidP="009E37AC">
            <w:r w:rsidRPr="00234E42">
              <w:t>Bo</w:t>
            </w:r>
          </w:p>
        </w:tc>
      </w:tr>
      <w:tr w:rsidR="004C697B" w:rsidTr="009E37AC">
        <w:tc>
          <w:tcPr>
            <w:tcW w:w="4606" w:type="dxa"/>
            <w:shd w:val="clear" w:color="auto" w:fill="auto"/>
          </w:tcPr>
          <w:p w:rsidR="004C697B" w:rsidRPr="00234E42" w:rsidRDefault="004C697B" w:rsidP="009E37AC">
            <w:r w:rsidRPr="00234E42">
              <w:t>souche</w:t>
            </w:r>
          </w:p>
        </w:tc>
        <w:tc>
          <w:tcPr>
            <w:tcW w:w="1314" w:type="dxa"/>
            <w:shd w:val="clear" w:color="auto" w:fill="auto"/>
          </w:tcPr>
          <w:p w:rsidR="004C697B" w:rsidRPr="00234E42" w:rsidRDefault="004C697B" w:rsidP="009E37AC">
            <w:r w:rsidRPr="00234E42">
              <w:t>So</w:t>
            </w:r>
          </w:p>
        </w:tc>
      </w:tr>
      <w:tr w:rsidR="004C697B" w:rsidTr="009E37AC">
        <w:tc>
          <w:tcPr>
            <w:tcW w:w="4606" w:type="dxa"/>
            <w:shd w:val="clear" w:color="auto" w:fill="auto"/>
          </w:tcPr>
          <w:p w:rsidR="004C697B" w:rsidRPr="00234E42" w:rsidRDefault="004C697B" w:rsidP="009E37AC">
            <w:r w:rsidRPr="00234E42">
              <w:t>limite de relevé</w:t>
            </w:r>
          </w:p>
        </w:tc>
        <w:tc>
          <w:tcPr>
            <w:tcW w:w="1314" w:type="dxa"/>
            <w:shd w:val="clear" w:color="auto" w:fill="auto"/>
          </w:tcPr>
          <w:p w:rsidR="004C697B" w:rsidRPr="00234E42" w:rsidRDefault="004C697B" w:rsidP="009E37AC">
            <w:r w:rsidRPr="00234E42">
              <w:t>Li</w:t>
            </w:r>
          </w:p>
        </w:tc>
      </w:tr>
      <w:tr w:rsidR="004C697B" w:rsidTr="009E37AC">
        <w:tc>
          <w:tcPr>
            <w:tcW w:w="4606" w:type="dxa"/>
            <w:shd w:val="clear" w:color="auto" w:fill="auto"/>
          </w:tcPr>
          <w:p w:rsidR="004C697B" w:rsidRPr="00234E42" w:rsidRDefault="004C697B" w:rsidP="009E37AC">
            <w:r w:rsidRPr="00234E42">
              <w:t>trouée</w:t>
            </w:r>
          </w:p>
        </w:tc>
        <w:tc>
          <w:tcPr>
            <w:tcW w:w="1314" w:type="dxa"/>
            <w:shd w:val="clear" w:color="auto" w:fill="auto"/>
          </w:tcPr>
          <w:p w:rsidR="004C697B" w:rsidRPr="00234E42" w:rsidRDefault="004C697B" w:rsidP="009E37AC">
            <w:r w:rsidRPr="00234E42">
              <w:t>Tr</w:t>
            </w:r>
          </w:p>
        </w:tc>
      </w:tr>
      <w:tr w:rsidR="004C697B" w:rsidTr="009E37AC">
        <w:tc>
          <w:tcPr>
            <w:tcW w:w="4606" w:type="dxa"/>
            <w:shd w:val="clear" w:color="auto" w:fill="auto"/>
          </w:tcPr>
          <w:p w:rsidR="004C697B" w:rsidRPr="00234E42" w:rsidRDefault="004C697B" w:rsidP="009E37AC">
            <w:r w:rsidRPr="00234E42">
              <w:t>Limite de relevé, dans un chemin</w:t>
            </w:r>
          </w:p>
        </w:tc>
        <w:tc>
          <w:tcPr>
            <w:tcW w:w="1314" w:type="dxa"/>
            <w:shd w:val="clear" w:color="auto" w:fill="auto"/>
          </w:tcPr>
          <w:p w:rsidR="004C697B" w:rsidRPr="00234E42" w:rsidRDefault="004C697B" w:rsidP="009E37AC">
            <w:proofErr w:type="spellStart"/>
            <w:r w:rsidRPr="00234E42">
              <w:t>Li+Ch</w:t>
            </w:r>
            <w:proofErr w:type="spellEnd"/>
          </w:p>
        </w:tc>
      </w:tr>
      <w:tr w:rsidR="004C697B" w:rsidTr="009E37AC">
        <w:tc>
          <w:tcPr>
            <w:tcW w:w="4606" w:type="dxa"/>
            <w:shd w:val="clear" w:color="auto" w:fill="auto"/>
          </w:tcPr>
          <w:p w:rsidR="004C697B" w:rsidRPr="00234E42" w:rsidRDefault="004C697B" w:rsidP="009E37AC">
            <w:r w:rsidRPr="00234E42">
              <w:t>Limite de relevé, sur un rocher</w:t>
            </w:r>
          </w:p>
        </w:tc>
        <w:tc>
          <w:tcPr>
            <w:tcW w:w="1314" w:type="dxa"/>
            <w:shd w:val="clear" w:color="auto" w:fill="auto"/>
          </w:tcPr>
          <w:p w:rsidR="004C697B" w:rsidRPr="00234E42" w:rsidRDefault="004C697B" w:rsidP="009E37AC">
            <w:proofErr w:type="spellStart"/>
            <w:r w:rsidRPr="00234E42">
              <w:t>Li+Ro</w:t>
            </w:r>
            <w:proofErr w:type="spellEnd"/>
          </w:p>
        </w:tc>
      </w:tr>
      <w:tr w:rsidR="005A70C4" w:rsidRPr="005A70C4" w:rsidTr="009E37AC">
        <w:tc>
          <w:tcPr>
            <w:tcW w:w="4606" w:type="dxa"/>
            <w:shd w:val="clear" w:color="auto" w:fill="auto"/>
          </w:tcPr>
          <w:p w:rsidR="005A70C4" w:rsidRPr="00234E42" w:rsidRDefault="005A70C4" w:rsidP="009E37AC">
            <w:r w:rsidRPr="00234E42">
              <w:t>Place à feu</w:t>
            </w:r>
          </w:p>
        </w:tc>
        <w:tc>
          <w:tcPr>
            <w:tcW w:w="1314" w:type="dxa"/>
            <w:shd w:val="clear" w:color="auto" w:fill="auto"/>
          </w:tcPr>
          <w:p w:rsidR="005A70C4" w:rsidRPr="00234E42" w:rsidRDefault="005A70C4" w:rsidP="009E37AC">
            <w:r w:rsidRPr="00234E42">
              <w:t>Pf</w:t>
            </w:r>
          </w:p>
        </w:tc>
      </w:tr>
    </w:tbl>
    <w:p w:rsidR="001E4D2C" w:rsidRDefault="001E4D2C" w:rsidP="001E4D2C">
      <w:pPr>
        <w:spacing w:after="200" w:line="276" w:lineRule="auto"/>
        <w:ind w:left="2136"/>
        <w:contextualSpacing/>
        <w:jc w:val="both"/>
      </w:pPr>
    </w:p>
    <w:p w:rsidR="001E4D2C" w:rsidRDefault="001E4D2C" w:rsidP="001E4D2C">
      <w:pPr>
        <w:numPr>
          <w:ilvl w:val="0"/>
          <w:numId w:val="4"/>
        </w:numPr>
        <w:spacing w:after="200" w:line="276" w:lineRule="auto"/>
        <w:contextualSpacing/>
        <w:jc w:val="both"/>
      </w:pPr>
      <w:r>
        <w:t>strates</w:t>
      </w:r>
      <w:r w:rsidRPr="00953309">
        <w:t xml:space="preserve"> utilisé</w:t>
      </w:r>
      <w:r>
        <w:t>e</w:t>
      </w:r>
      <w:r w:rsidRPr="00953309">
        <w:t>s</w:t>
      </w:r>
      <w:r>
        <w:t xml:space="preserve"> : </w:t>
      </w:r>
    </w:p>
    <w:tbl>
      <w:tblPr>
        <w:tblW w:w="0" w:type="auto"/>
        <w:tblInd w:w="1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5426"/>
        <w:gridCol w:w="670"/>
      </w:tblGrid>
      <w:tr w:rsidR="001E4D2C" w:rsidRPr="0092529A" w:rsidTr="009E37AC">
        <w:tc>
          <w:tcPr>
            <w:tcW w:w="0" w:type="auto"/>
            <w:shd w:val="clear" w:color="auto" w:fill="auto"/>
          </w:tcPr>
          <w:p w:rsidR="001E4D2C" w:rsidRPr="0092529A" w:rsidRDefault="001E4D2C" w:rsidP="009E37AC">
            <w:r>
              <w:t xml:space="preserve">Intitulé </w:t>
            </w:r>
            <w:r w:rsidRPr="0092529A">
              <w:t>strate</w:t>
            </w:r>
          </w:p>
        </w:tc>
        <w:tc>
          <w:tcPr>
            <w:tcW w:w="0" w:type="auto"/>
            <w:shd w:val="clear" w:color="auto" w:fill="auto"/>
          </w:tcPr>
          <w:p w:rsidR="001E4D2C" w:rsidRPr="0092529A" w:rsidRDefault="001E4D2C" w:rsidP="009E37AC">
            <w:pPr>
              <w:jc w:val="center"/>
            </w:pPr>
            <w:r w:rsidRPr="0092529A">
              <w:t>définition</w:t>
            </w:r>
          </w:p>
        </w:tc>
        <w:tc>
          <w:tcPr>
            <w:tcW w:w="0" w:type="auto"/>
            <w:shd w:val="clear" w:color="auto" w:fill="auto"/>
          </w:tcPr>
          <w:p w:rsidR="001E4D2C" w:rsidRPr="0092529A" w:rsidRDefault="001E4D2C" w:rsidP="009E37AC">
            <w:pPr>
              <w:jc w:val="center"/>
            </w:pPr>
            <w:r w:rsidRPr="0092529A">
              <w:t>code</w:t>
            </w:r>
          </w:p>
        </w:tc>
      </w:tr>
      <w:tr w:rsidR="001E4D2C" w:rsidRPr="0092529A" w:rsidTr="009E37AC">
        <w:tc>
          <w:tcPr>
            <w:tcW w:w="0" w:type="auto"/>
            <w:shd w:val="clear" w:color="auto" w:fill="auto"/>
          </w:tcPr>
          <w:p w:rsidR="001E4D2C" w:rsidRPr="0092529A" w:rsidRDefault="001E4D2C" w:rsidP="009E37AC">
            <w:r>
              <w:t>arborescente</w:t>
            </w:r>
          </w:p>
        </w:tc>
        <w:tc>
          <w:tcPr>
            <w:tcW w:w="0" w:type="auto"/>
            <w:shd w:val="clear" w:color="auto" w:fill="auto"/>
          </w:tcPr>
          <w:p w:rsidR="001E4D2C" w:rsidRPr="0092529A" w:rsidRDefault="001E4D2C" w:rsidP="009E37AC">
            <w:r>
              <w:t>Ligneux&gt;7m</w:t>
            </w:r>
          </w:p>
        </w:tc>
        <w:tc>
          <w:tcPr>
            <w:tcW w:w="0" w:type="auto"/>
            <w:shd w:val="clear" w:color="auto" w:fill="auto"/>
          </w:tcPr>
          <w:p w:rsidR="001E4D2C" w:rsidRPr="0092529A" w:rsidRDefault="001E4D2C" w:rsidP="009E37AC">
            <w:r>
              <w:t>A</w:t>
            </w:r>
          </w:p>
        </w:tc>
      </w:tr>
      <w:tr w:rsidR="001E4D2C" w:rsidRPr="0092529A" w:rsidTr="009E37AC">
        <w:tc>
          <w:tcPr>
            <w:tcW w:w="0" w:type="auto"/>
            <w:shd w:val="clear" w:color="auto" w:fill="auto"/>
          </w:tcPr>
          <w:p w:rsidR="001E4D2C" w:rsidRPr="0092529A" w:rsidRDefault="001E4D2C" w:rsidP="009E37AC">
            <w:r w:rsidRPr="0092529A">
              <w:t>arbustive</w:t>
            </w:r>
          </w:p>
        </w:tc>
        <w:tc>
          <w:tcPr>
            <w:tcW w:w="0" w:type="auto"/>
            <w:shd w:val="clear" w:color="auto" w:fill="auto"/>
          </w:tcPr>
          <w:p w:rsidR="001E4D2C" w:rsidRPr="0092529A" w:rsidRDefault="001E4D2C" w:rsidP="009E37AC">
            <w:r>
              <w:t>L</w:t>
            </w:r>
            <w:r w:rsidRPr="0092529A">
              <w:t xml:space="preserve">igneux </w:t>
            </w:r>
            <w:r>
              <w:t xml:space="preserve">&gt; 50cm et </w:t>
            </w:r>
            <w:r w:rsidRPr="0092529A">
              <w:t>&lt;</w:t>
            </w:r>
            <w:r>
              <w:t xml:space="preserve"> </w:t>
            </w:r>
            <w:r w:rsidRPr="0092529A">
              <w:t>7m</w:t>
            </w:r>
          </w:p>
        </w:tc>
        <w:tc>
          <w:tcPr>
            <w:tcW w:w="0" w:type="auto"/>
            <w:shd w:val="clear" w:color="auto" w:fill="auto"/>
          </w:tcPr>
          <w:p w:rsidR="001E4D2C" w:rsidRPr="0092529A" w:rsidRDefault="001E4D2C" w:rsidP="009E37AC">
            <w:r w:rsidRPr="0092529A">
              <w:t>a</w:t>
            </w:r>
          </w:p>
        </w:tc>
      </w:tr>
      <w:tr w:rsidR="001E4D2C" w:rsidRPr="0092529A" w:rsidTr="009E37AC">
        <w:tc>
          <w:tcPr>
            <w:tcW w:w="0" w:type="auto"/>
            <w:shd w:val="clear" w:color="auto" w:fill="auto"/>
          </w:tcPr>
          <w:p w:rsidR="001E4D2C" w:rsidRPr="0092529A" w:rsidRDefault="001E4D2C" w:rsidP="009E37AC">
            <w:r w:rsidRPr="0092529A">
              <w:t>herbacée</w:t>
            </w:r>
          </w:p>
        </w:tc>
        <w:tc>
          <w:tcPr>
            <w:tcW w:w="0" w:type="auto"/>
            <w:shd w:val="clear" w:color="auto" w:fill="auto"/>
          </w:tcPr>
          <w:p w:rsidR="001E4D2C" w:rsidRPr="0092529A" w:rsidRDefault="0096447B" w:rsidP="009E37AC">
            <w:r w:rsidRPr="0096447B">
              <w:t>ligneux &lt; 50cm et herbacées de toutes tailles</w:t>
            </w:r>
          </w:p>
        </w:tc>
        <w:tc>
          <w:tcPr>
            <w:tcW w:w="0" w:type="auto"/>
            <w:shd w:val="clear" w:color="auto" w:fill="auto"/>
          </w:tcPr>
          <w:p w:rsidR="001E4D2C" w:rsidRPr="0092529A" w:rsidRDefault="001E4D2C" w:rsidP="009E37AC">
            <w:r w:rsidRPr="0092529A">
              <w:t>h</w:t>
            </w:r>
          </w:p>
        </w:tc>
      </w:tr>
      <w:tr w:rsidR="001E4D2C" w:rsidRPr="0092529A" w:rsidTr="009E37AC">
        <w:tc>
          <w:tcPr>
            <w:tcW w:w="0" w:type="auto"/>
            <w:shd w:val="clear" w:color="auto" w:fill="auto"/>
          </w:tcPr>
          <w:p w:rsidR="001E4D2C" w:rsidRPr="0092529A" w:rsidRDefault="001E4D2C" w:rsidP="009E37AC">
            <w:r>
              <w:t>germinations</w:t>
            </w:r>
          </w:p>
        </w:tc>
        <w:tc>
          <w:tcPr>
            <w:tcW w:w="0" w:type="auto"/>
            <w:shd w:val="clear" w:color="auto" w:fill="auto"/>
          </w:tcPr>
          <w:p w:rsidR="001E4D2C" w:rsidRDefault="007B77B0" w:rsidP="009E37AC">
            <w:r w:rsidRPr="007B77B0">
              <w:t>ligneux au stade plantule</w:t>
            </w:r>
          </w:p>
        </w:tc>
        <w:tc>
          <w:tcPr>
            <w:tcW w:w="0" w:type="auto"/>
            <w:shd w:val="clear" w:color="auto" w:fill="auto"/>
          </w:tcPr>
          <w:p w:rsidR="001E4D2C" w:rsidRPr="0092529A" w:rsidRDefault="001E4D2C" w:rsidP="009E37AC">
            <w:r>
              <w:t>g</w:t>
            </w:r>
          </w:p>
        </w:tc>
      </w:tr>
      <w:tr w:rsidR="001E4D2C" w:rsidRPr="0092529A" w:rsidTr="009E37AC">
        <w:tc>
          <w:tcPr>
            <w:tcW w:w="0" w:type="auto"/>
            <w:shd w:val="clear" w:color="auto" w:fill="auto"/>
          </w:tcPr>
          <w:p w:rsidR="001E4D2C" w:rsidRPr="0092529A" w:rsidRDefault="001E4D2C" w:rsidP="009E37AC">
            <w:r w:rsidRPr="0092529A">
              <w:t>mousse</w:t>
            </w:r>
          </w:p>
        </w:tc>
        <w:tc>
          <w:tcPr>
            <w:tcW w:w="0" w:type="auto"/>
            <w:shd w:val="clear" w:color="auto" w:fill="auto"/>
          </w:tcPr>
          <w:p w:rsidR="001E4D2C" w:rsidRPr="0092529A" w:rsidRDefault="001E4D2C" w:rsidP="009E37AC">
            <w:proofErr w:type="spellStart"/>
            <w:r w:rsidRPr="0092529A">
              <w:t>Hepaticophyta</w:t>
            </w:r>
            <w:proofErr w:type="spellEnd"/>
            <w:r w:rsidRPr="0092529A">
              <w:t xml:space="preserve"> et </w:t>
            </w:r>
            <w:proofErr w:type="spellStart"/>
            <w:r w:rsidRPr="0092529A">
              <w:t>Bryophyta</w:t>
            </w:r>
            <w:proofErr w:type="spellEnd"/>
            <w:r w:rsidRPr="0092529A">
              <w:t xml:space="preserve"> humicole</w:t>
            </w:r>
          </w:p>
        </w:tc>
        <w:tc>
          <w:tcPr>
            <w:tcW w:w="0" w:type="auto"/>
            <w:shd w:val="clear" w:color="auto" w:fill="auto"/>
          </w:tcPr>
          <w:p w:rsidR="001E4D2C" w:rsidRPr="0092529A" w:rsidRDefault="001E4D2C" w:rsidP="009E37AC">
            <w:r w:rsidRPr="0092529A">
              <w:t>m</w:t>
            </w:r>
          </w:p>
        </w:tc>
      </w:tr>
      <w:tr w:rsidR="007B5120" w:rsidRPr="0092529A" w:rsidTr="009E37AC">
        <w:tc>
          <w:tcPr>
            <w:tcW w:w="0" w:type="auto"/>
            <w:shd w:val="clear" w:color="auto" w:fill="auto"/>
          </w:tcPr>
          <w:p w:rsidR="007B5120" w:rsidRPr="0092529A" w:rsidRDefault="007B5120" w:rsidP="009E37AC">
            <w:r>
              <w:t>Sol nu</w:t>
            </w:r>
          </w:p>
        </w:tc>
        <w:tc>
          <w:tcPr>
            <w:tcW w:w="0" w:type="auto"/>
            <w:shd w:val="clear" w:color="auto" w:fill="auto"/>
          </w:tcPr>
          <w:p w:rsidR="007B5120" w:rsidRPr="0092529A" w:rsidRDefault="007B77B0" w:rsidP="009E37AC">
            <w:r>
              <w:t>s</w:t>
            </w:r>
            <w:r w:rsidRPr="007B77B0">
              <w:t xml:space="preserve">ol non recouvert par </w:t>
            </w:r>
            <w:proofErr w:type="gramStart"/>
            <w:r w:rsidRPr="007B77B0">
              <w:t>les strates herbacée</w:t>
            </w:r>
            <w:proofErr w:type="gramEnd"/>
            <w:r w:rsidRPr="007B77B0">
              <w:t xml:space="preserve"> et muscinale</w:t>
            </w:r>
          </w:p>
        </w:tc>
        <w:tc>
          <w:tcPr>
            <w:tcW w:w="0" w:type="auto"/>
            <w:shd w:val="clear" w:color="auto" w:fill="auto"/>
          </w:tcPr>
          <w:p w:rsidR="007B5120" w:rsidRPr="0092529A" w:rsidRDefault="007B5120" w:rsidP="009E37AC">
            <w:r>
              <w:t>sn</w:t>
            </w:r>
          </w:p>
        </w:tc>
      </w:tr>
    </w:tbl>
    <w:p w:rsidR="001E4D2C" w:rsidRPr="00953309" w:rsidRDefault="001E4D2C" w:rsidP="001E4D2C">
      <w:pPr>
        <w:spacing w:after="200" w:line="276" w:lineRule="auto"/>
        <w:jc w:val="both"/>
      </w:pPr>
    </w:p>
    <w:p w:rsidR="00B95461" w:rsidRDefault="00B95461" w:rsidP="00B95461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953309">
        <w:t>coefficients utilisés</w:t>
      </w:r>
      <w:r w:rsidR="001E4D2C">
        <w:t> :</w:t>
      </w:r>
      <w:r>
        <w:t xml:space="preserve"> 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912"/>
      </w:tblGrid>
      <w:tr w:rsidR="00B95461" w:rsidRPr="00B9032F" w:rsidTr="009E37AC">
        <w:tc>
          <w:tcPr>
            <w:tcW w:w="1242" w:type="dxa"/>
            <w:shd w:val="clear" w:color="auto" w:fill="auto"/>
          </w:tcPr>
          <w:p w:rsidR="00B95461" w:rsidRPr="00B9032F" w:rsidRDefault="00B95461" w:rsidP="009E37AC">
            <w:r w:rsidRPr="00B9032F">
              <w:t>coefficient</w:t>
            </w:r>
          </w:p>
        </w:tc>
        <w:tc>
          <w:tcPr>
            <w:tcW w:w="6912" w:type="dxa"/>
            <w:shd w:val="clear" w:color="auto" w:fill="auto"/>
          </w:tcPr>
          <w:p w:rsidR="00B95461" w:rsidRPr="00B9032F" w:rsidRDefault="00B95461" w:rsidP="009E37AC">
            <w:r w:rsidRPr="00B9032F">
              <w:t>définition</w:t>
            </w:r>
          </w:p>
        </w:tc>
      </w:tr>
      <w:tr w:rsidR="00B95461" w:rsidRPr="00B9032F" w:rsidTr="009E37AC">
        <w:tc>
          <w:tcPr>
            <w:tcW w:w="1242" w:type="dxa"/>
            <w:shd w:val="clear" w:color="auto" w:fill="auto"/>
          </w:tcPr>
          <w:p w:rsidR="00B95461" w:rsidRPr="00B9032F" w:rsidRDefault="00B95461" w:rsidP="009E37AC">
            <w:r>
              <w:t>R</w:t>
            </w:r>
          </w:p>
        </w:tc>
        <w:tc>
          <w:tcPr>
            <w:tcW w:w="6912" w:type="dxa"/>
            <w:shd w:val="clear" w:color="auto" w:fill="auto"/>
          </w:tcPr>
          <w:p w:rsidR="00B95461" w:rsidRPr="00B9032F" w:rsidRDefault="00B95461" w:rsidP="009E37AC">
            <w:r>
              <w:t>Noté à partir de 2001 : Un seul individu ou une petite touffe de très faible recouvrement (pour strates arbustes bas et inférieures)</w:t>
            </w:r>
          </w:p>
        </w:tc>
      </w:tr>
      <w:tr w:rsidR="00B95461" w:rsidRPr="00B9032F" w:rsidTr="009E37AC">
        <w:tc>
          <w:tcPr>
            <w:tcW w:w="1242" w:type="dxa"/>
            <w:shd w:val="clear" w:color="auto" w:fill="auto"/>
          </w:tcPr>
          <w:p w:rsidR="00B95461" w:rsidRPr="00B9032F" w:rsidRDefault="00B95461" w:rsidP="009E37AC">
            <w:r w:rsidRPr="00B9032F">
              <w:t>+</w:t>
            </w:r>
          </w:p>
        </w:tc>
        <w:tc>
          <w:tcPr>
            <w:tcW w:w="6912" w:type="dxa"/>
            <w:shd w:val="clear" w:color="auto" w:fill="auto"/>
          </w:tcPr>
          <w:p w:rsidR="00B95461" w:rsidRPr="00B9032F" w:rsidRDefault="00B95461" w:rsidP="009E37AC">
            <w:r w:rsidRPr="00B9032F">
              <w:t xml:space="preserve">Espèce rare que l’on peut </w:t>
            </w:r>
            <w:r>
              <w:t xml:space="preserve">éventuellement </w:t>
            </w:r>
            <w:r w:rsidRPr="00B9032F">
              <w:t>manquer.</w:t>
            </w:r>
          </w:p>
        </w:tc>
      </w:tr>
      <w:tr w:rsidR="00B95461" w:rsidRPr="00B9032F" w:rsidTr="009E37AC">
        <w:tc>
          <w:tcPr>
            <w:tcW w:w="1242" w:type="dxa"/>
            <w:shd w:val="clear" w:color="auto" w:fill="auto"/>
          </w:tcPr>
          <w:p w:rsidR="00B95461" w:rsidRPr="00B9032F" w:rsidRDefault="00B95461" w:rsidP="009E37AC">
            <w:r w:rsidRPr="00B9032F">
              <w:t>1</w:t>
            </w:r>
          </w:p>
        </w:tc>
        <w:tc>
          <w:tcPr>
            <w:tcW w:w="6912" w:type="dxa"/>
            <w:shd w:val="clear" w:color="auto" w:fill="auto"/>
          </w:tcPr>
          <w:p w:rsidR="00B95461" w:rsidRPr="00B9032F" w:rsidRDefault="00B95461" w:rsidP="009E37AC">
            <w:r w:rsidRPr="00B9032F">
              <w:t>Espèce de recouvrement &lt; 5% de la surface du relevé et que l’on ne peut pas manquer.</w:t>
            </w:r>
          </w:p>
        </w:tc>
      </w:tr>
      <w:tr w:rsidR="00B95461" w:rsidRPr="00B9032F" w:rsidTr="009E37AC">
        <w:tc>
          <w:tcPr>
            <w:tcW w:w="1242" w:type="dxa"/>
            <w:shd w:val="clear" w:color="auto" w:fill="auto"/>
          </w:tcPr>
          <w:p w:rsidR="00B95461" w:rsidRPr="00B9032F" w:rsidRDefault="00B95461" w:rsidP="009E37AC">
            <w:r>
              <w:t>1+</w:t>
            </w:r>
          </w:p>
        </w:tc>
        <w:tc>
          <w:tcPr>
            <w:tcW w:w="6912" w:type="dxa"/>
            <w:shd w:val="clear" w:color="auto" w:fill="auto"/>
          </w:tcPr>
          <w:p w:rsidR="00B95461" w:rsidRPr="00B9032F" w:rsidRDefault="00B95461" w:rsidP="009E37AC">
            <w:r>
              <w:t>Espèce assez abondante, mais couvrant moins de 5% de la surface</w:t>
            </w:r>
          </w:p>
        </w:tc>
      </w:tr>
      <w:tr w:rsidR="00B95461" w:rsidRPr="00B9032F" w:rsidTr="009E37AC">
        <w:tc>
          <w:tcPr>
            <w:tcW w:w="1242" w:type="dxa"/>
            <w:shd w:val="clear" w:color="auto" w:fill="auto"/>
          </w:tcPr>
          <w:p w:rsidR="00B95461" w:rsidRPr="00B9032F" w:rsidRDefault="00B95461" w:rsidP="009E37AC">
            <w:r>
              <w:t>2-</w:t>
            </w:r>
          </w:p>
        </w:tc>
        <w:tc>
          <w:tcPr>
            <w:tcW w:w="6912" w:type="dxa"/>
            <w:shd w:val="clear" w:color="auto" w:fill="auto"/>
          </w:tcPr>
          <w:p w:rsidR="00B95461" w:rsidRPr="00B9032F" w:rsidRDefault="00B95461" w:rsidP="009E37AC">
            <w:r>
              <w:t>Fourchette basse du coefficient 2</w:t>
            </w:r>
          </w:p>
        </w:tc>
      </w:tr>
      <w:tr w:rsidR="00B95461" w:rsidRPr="00B9032F" w:rsidTr="009E37AC">
        <w:tc>
          <w:tcPr>
            <w:tcW w:w="1242" w:type="dxa"/>
            <w:shd w:val="clear" w:color="auto" w:fill="auto"/>
          </w:tcPr>
          <w:p w:rsidR="00B95461" w:rsidRPr="00B9032F" w:rsidRDefault="00B95461" w:rsidP="009E37AC">
            <w:r w:rsidRPr="00B9032F">
              <w:t>2</w:t>
            </w:r>
          </w:p>
        </w:tc>
        <w:tc>
          <w:tcPr>
            <w:tcW w:w="6912" w:type="dxa"/>
            <w:shd w:val="clear" w:color="auto" w:fill="auto"/>
          </w:tcPr>
          <w:p w:rsidR="00B95461" w:rsidRPr="00B9032F" w:rsidRDefault="00B95461" w:rsidP="009E37AC">
            <w:r w:rsidRPr="00B9032F">
              <w:t>Espèce très abondante couvrant moins de 5% de la surface, ou couvrant entre 5 et 25 % de la surface du relevé</w:t>
            </w:r>
          </w:p>
        </w:tc>
      </w:tr>
      <w:tr w:rsidR="00B95461" w:rsidRPr="00B9032F" w:rsidTr="009E37AC">
        <w:tc>
          <w:tcPr>
            <w:tcW w:w="1242" w:type="dxa"/>
            <w:shd w:val="clear" w:color="auto" w:fill="auto"/>
          </w:tcPr>
          <w:p w:rsidR="00B95461" w:rsidRPr="00B9032F" w:rsidRDefault="00B95461" w:rsidP="009E37AC">
            <w:r>
              <w:t>2+</w:t>
            </w:r>
          </w:p>
        </w:tc>
        <w:tc>
          <w:tcPr>
            <w:tcW w:w="6912" w:type="dxa"/>
            <w:shd w:val="clear" w:color="auto" w:fill="auto"/>
          </w:tcPr>
          <w:p w:rsidR="00B95461" w:rsidRPr="00B9032F" w:rsidRDefault="00B95461" w:rsidP="009E37AC">
            <w:r>
              <w:t>Fourchette haute du coefficient 2</w:t>
            </w:r>
          </w:p>
        </w:tc>
      </w:tr>
      <w:tr w:rsidR="00B95461" w:rsidRPr="00B9032F" w:rsidTr="009E37AC">
        <w:tc>
          <w:tcPr>
            <w:tcW w:w="1242" w:type="dxa"/>
            <w:shd w:val="clear" w:color="auto" w:fill="auto"/>
          </w:tcPr>
          <w:p w:rsidR="00B95461" w:rsidRPr="00B9032F" w:rsidRDefault="00B95461" w:rsidP="009E37AC">
            <w:r>
              <w:t>3-</w:t>
            </w:r>
          </w:p>
        </w:tc>
        <w:tc>
          <w:tcPr>
            <w:tcW w:w="6912" w:type="dxa"/>
            <w:shd w:val="clear" w:color="auto" w:fill="auto"/>
          </w:tcPr>
          <w:p w:rsidR="00B95461" w:rsidRPr="00B9032F" w:rsidRDefault="00B95461" w:rsidP="009E37AC">
            <w:r>
              <w:t>Fourchette basse du coefficient 3</w:t>
            </w:r>
          </w:p>
        </w:tc>
      </w:tr>
      <w:tr w:rsidR="00B95461" w:rsidRPr="00B9032F" w:rsidTr="009E37AC">
        <w:tc>
          <w:tcPr>
            <w:tcW w:w="1242" w:type="dxa"/>
            <w:shd w:val="clear" w:color="auto" w:fill="auto"/>
          </w:tcPr>
          <w:p w:rsidR="00B95461" w:rsidRPr="00B9032F" w:rsidRDefault="00B95461" w:rsidP="009E37AC">
            <w:r w:rsidRPr="00B9032F">
              <w:t>3</w:t>
            </w:r>
          </w:p>
        </w:tc>
        <w:tc>
          <w:tcPr>
            <w:tcW w:w="6912" w:type="dxa"/>
            <w:shd w:val="clear" w:color="auto" w:fill="auto"/>
          </w:tcPr>
          <w:p w:rsidR="00B95461" w:rsidRPr="00B9032F" w:rsidRDefault="00B95461" w:rsidP="009E37AC">
            <w:r w:rsidRPr="00B9032F">
              <w:t>Espèce couvrant entre 25 et 50% de la surface du relevé</w:t>
            </w:r>
          </w:p>
        </w:tc>
      </w:tr>
      <w:tr w:rsidR="00B95461" w:rsidRPr="00B9032F" w:rsidTr="009E37AC">
        <w:tc>
          <w:tcPr>
            <w:tcW w:w="1242" w:type="dxa"/>
            <w:shd w:val="clear" w:color="auto" w:fill="auto"/>
          </w:tcPr>
          <w:p w:rsidR="00B95461" w:rsidRPr="00B9032F" w:rsidRDefault="00B95461" w:rsidP="009E37AC">
            <w:r>
              <w:t>3+</w:t>
            </w:r>
          </w:p>
        </w:tc>
        <w:tc>
          <w:tcPr>
            <w:tcW w:w="6912" w:type="dxa"/>
            <w:shd w:val="clear" w:color="auto" w:fill="auto"/>
          </w:tcPr>
          <w:p w:rsidR="00B95461" w:rsidRPr="00B9032F" w:rsidRDefault="00B95461" w:rsidP="009E37AC">
            <w:r>
              <w:t>Fourchette haute du coefficient 3</w:t>
            </w:r>
          </w:p>
        </w:tc>
      </w:tr>
      <w:tr w:rsidR="00B95461" w:rsidRPr="00B9032F" w:rsidTr="009E37AC">
        <w:tc>
          <w:tcPr>
            <w:tcW w:w="1242" w:type="dxa"/>
            <w:shd w:val="clear" w:color="auto" w:fill="auto"/>
          </w:tcPr>
          <w:p w:rsidR="00B95461" w:rsidRPr="00B9032F" w:rsidRDefault="00B95461" w:rsidP="009E37AC">
            <w:r>
              <w:t>4-</w:t>
            </w:r>
          </w:p>
        </w:tc>
        <w:tc>
          <w:tcPr>
            <w:tcW w:w="6912" w:type="dxa"/>
            <w:shd w:val="clear" w:color="auto" w:fill="auto"/>
          </w:tcPr>
          <w:p w:rsidR="00B95461" w:rsidRPr="00B9032F" w:rsidRDefault="00B95461" w:rsidP="009E37AC">
            <w:r>
              <w:t>Fourchette basse du coefficient 4</w:t>
            </w:r>
          </w:p>
        </w:tc>
      </w:tr>
      <w:tr w:rsidR="00B95461" w:rsidRPr="00B9032F" w:rsidTr="009E37AC">
        <w:tc>
          <w:tcPr>
            <w:tcW w:w="1242" w:type="dxa"/>
            <w:shd w:val="clear" w:color="auto" w:fill="auto"/>
          </w:tcPr>
          <w:p w:rsidR="00B95461" w:rsidRPr="00B9032F" w:rsidRDefault="00B95461" w:rsidP="009E37AC">
            <w:r w:rsidRPr="00B9032F">
              <w:t>4</w:t>
            </w:r>
          </w:p>
        </w:tc>
        <w:tc>
          <w:tcPr>
            <w:tcW w:w="6912" w:type="dxa"/>
            <w:shd w:val="clear" w:color="auto" w:fill="auto"/>
          </w:tcPr>
          <w:p w:rsidR="00B95461" w:rsidRPr="00B9032F" w:rsidRDefault="00B95461" w:rsidP="009E37AC">
            <w:r w:rsidRPr="00B9032F">
              <w:t>Espèce couvrant entre 50 et 75% de la surface du relevé</w:t>
            </w:r>
          </w:p>
        </w:tc>
      </w:tr>
      <w:tr w:rsidR="00B95461" w:rsidRPr="00B9032F" w:rsidTr="009E37AC">
        <w:tc>
          <w:tcPr>
            <w:tcW w:w="1242" w:type="dxa"/>
            <w:shd w:val="clear" w:color="auto" w:fill="auto"/>
          </w:tcPr>
          <w:p w:rsidR="00B95461" w:rsidRPr="00B9032F" w:rsidRDefault="00B95461" w:rsidP="009E37AC">
            <w:r>
              <w:t>4+</w:t>
            </w:r>
          </w:p>
        </w:tc>
        <w:tc>
          <w:tcPr>
            <w:tcW w:w="6912" w:type="dxa"/>
            <w:shd w:val="clear" w:color="auto" w:fill="auto"/>
          </w:tcPr>
          <w:p w:rsidR="00B95461" w:rsidRPr="00B9032F" w:rsidRDefault="00B95461" w:rsidP="009E37AC">
            <w:r>
              <w:t>Fourchette haute du coefficient 4</w:t>
            </w:r>
          </w:p>
        </w:tc>
      </w:tr>
      <w:tr w:rsidR="00B95461" w:rsidRPr="00B9032F" w:rsidTr="009E37AC">
        <w:tc>
          <w:tcPr>
            <w:tcW w:w="1242" w:type="dxa"/>
            <w:shd w:val="clear" w:color="auto" w:fill="auto"/>
          </w:tcPr>
          <w:p w:rsidR="00B95461" w:rsidRPr="00B9032F" w:rsidRDefault="00B95461" w:rsidP="009E37AC">
            <w:r>
              <w:t>5-</w:t>
            </w:r>
          </w:p>
        </w:tc>
        <w:tc>
          <w:tcPr>
            <w:tcW w:w="6912" w:type="dxa"/>
            <w:shd w:val="clear" w:color="auto" w:fill="auto"/>
          </w:tcPr>
          <w:p w:rsidR="00B95461" w:rsidRPr="00B9032F" w:rsidRDefault="00B95461" w:rsidP="009E37AC">
            <w:r>
              <w:t>Fourchette basse du coefficient 5</w:t>
            </w:r>
          </w:p>
        </w:tc>
      </w:tr>
      <w:tr w:rsidR="00B95461" w:rsidRPr="00B9032F" w:rsidTr="009E37AC">
        <w:tc>
          <w:tcPr>
            <w:tcW w:w="1242" w:type="dxa"/>
            <w:shd w:val="clear" w:color="auto" w:fill="auto"/>
          </w:tcPr>
          <w:p w:rsidR="00B95461" w:rsidRPr="00B9032F" w:rsidRDefault="00B95461" w:rsidP="009E37AC">
            <w:r w:rsidRPr="00B9032F">
              <w:t>5</w:t>
            </w:r>
          </w:p>
        </w:tc>
        <w:tc>
          <w:tcPr>
            <w:tcW w:w="6912" w:type="dxa"/>
            <w:shd w:val="clear" w:color="auto" w:fill="auto"/>
          </w:tcPr>
          <w:p w:rsidR="00B95461" w:rsidRPr="00B9032F" w:rsidRDefault="00B95461" w:rsidP="009E37AC">
            <w:r w:rsidRPr="00B9032F">
              <w:t>Espèce couvrant entre 75 et 100% de la surface du relevé</w:t>
            </w:r>
          </w:p>
        </w:tc>
      </w:tr>
      <w:tr w:rsidR="00B95461" w:rsidRPr="00B9032F" w:rsidTr="009E37AC">
        <w:tc>
          <w:tcPr>
            <w:tcW w:w="1242" w:type="dxa"/>
            <w:shd w:val="clear" w:color="auto" w:fill="auto"/>
          </w:tcPr>
          <w:p w:rsidR="00B95461" w:rsidRPr="00B9032F" w:rsidRDefault="00B95461" w:rsidP="009E37AC">
            <w:r>
              <w:t>5+</w:t>
            </w:r>
          </w:p>
        </w:tc>
        <w:tc>
          <w:tcPr>
            <w:tcW w:w="6912" w:type="dxa"/>
            <w:shd w:val="clear" w:color="auto" w:fill="auto"/>
          </w:tcPr>
          <w:p w:rsidR="00B95461" w:rsidRPr="00B9032F" w:rsidRDefault="00B95461" w:rsidP="009E37AC">
            <w:r>
              <w:t>Fourchette haute du coefficient 5</w:t>
            </w:r>
          </w:p>
        </w:tc>
      </w:tr>
    </w:tbl>
    <w:p w:rsidR="00797438" w:rsidRPr="008E4DB2" w:rsidRDefault="002127C9" w:rsidP="002127C9">
      <w:pPr>
        <w:tabs>
          <w:tab w:val="left" w:pos="709"/>
        </w:tabs>
        <w:spacing w:after="200" w:line="276" w:lineRule="auto"/>
        <w:jc w:val="both"/>
        <w:rPr>
          <w:i/>
        </w:rPr>
      </w:pPr>
      <w:r w:rsidRPr="008E4DB2">
        <w:rPr>
          <w:i/>
        </w:rPr>
        <w:t xml:space="preserve"> </w:t>
      </w:r>
      <w:bookmarkStart w:id="0" w:name="_GoBack"/>
      <w:bookmarkEnd w:id="0"/>
    </w:p>
    <w:sectPr w:rsidR="00797438" w:rsidRPr="008E4DB2" w:rsidSect="00457220">
      <w:pgSz w:w="11906" w:h="16838"/>
      <w:pgMar w:top="2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1B5" w:rsidRDefault="003131B5" w:rsidP="00457220">
      <w:r>
        <w:separator/>
      </w:r>
    </w:p>
  </w:endnote>
  <w:endnote w:type="continuationSeparator" w:id="0">
    <w:p w:rsidR="003131B5" w:rsidRDefault="003131B5" w:rsidP="0045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1B5" w:rsidRDefault="003131B5" w:rsidP="00457220">
      <w:r>
        <w:separator/>
      </w:r>
    </w:p>
  </w:footnote>
  <w:footnote w:type="continuationSeparator" w:id="0">
    <w:p w:rsidR="003131B5" w:rsidRDefault="003131B5" w:rsidP="0045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EE9"/>
    <w:multiLevelType w:val="hybridMultilevel"/>
    <w:tmpl w:val="48487754"/>
    <w:lvl w:ilvl="0" w:tplc="102253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4C26C4"/>
    <w:multiLevelType w:val="hybridMultilevel"/>
    <w:tmpl w:val="EC68E4B4"/>
    <w:lvl w:ilvl="0" w:tplc="040C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1C6213EB"/>
    <w:multiLevelType w:val="hybridMultilevel"/>
    <w:tmpl w:val="B734DA74"/>
    <w:lvl w:ilvl="0" w:tplc="72AE06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045C4"/>
    <w:multiLevelType w:val="hybridMultilevel"/>
    <w:tmpl w:val="C6C4E70E"/>
    <w:lvl w:ilvl="0" w:tplc="04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36802AE"/>
    <w:multiLevelType w:val="hybridMultilevel"/>
    <w:tmpl w:val="0D804BA8"/>
    <w:lvl w:ilvl="0" w:tplc="72AE0696">
      <w:start w:val="1"/>
      <w:numFmt w:val="bullet"/>
      <w:lvlText w:val="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2A430CDA"/>
    <w:multiLevelType w:val="hybridMultilevel"/>
    <w:tmpl w:val="E290358A"/>
    <w:lvl w:ilvl="0" w:tplc="72AE0696">
      <w:start w:val="1"/>
      <w:numFmt w:val="bullet"/>
      <w:lvlText w:val="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378A616E"/>
    <w:multiLevelType w:val="hybridMultilevel"/>
    <w:tmpl w:val="70D62D08"/>
    <w:lvl w:ilvl="0" w:tplc="040C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71728836" w:tentative="1">
      <w:start w:val="1"/>
      <w:numFmt w:val="bullet"/>
      <w:lvlText w:val="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1C1CAFBE" w:tentative="1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>
    <w:nsid w:val="3A7A0D94"/>
    <w:multiLevelType w:val="hybridMultilevel"/>
    <w:tmpl w:val="D02CE030"/>
    <w:lvl w:ilvl="0" w:tplc="72AE06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AE069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3" w:tplc="B136F2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6AD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74C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0B4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46D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E7A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40712F"/>
    <w:multiLevelType w:val="hybridMultilevel"/>
    <w:tmpl w:val="BC882E8A"/>
    <w:lvl w:ilvl="0" w:tplc="B2EA5C0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F0337"/>
    <w:multiLevelType w:val="hybridMultilevel"/>
    <w:tmpl w:val="9628E912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42A73190"/>
    <w:multiLevelType w:val="hybridMultilevel"/>
    <w:tmpl w:val="5126705C"/>
    <w:lvl w:ilvl="0" w:tplc="72AE0696">
      <w:start w:val="1"/>
      <w:numFmt w:val="bullet"/>
      <w:lvlText w:val=""/>
      <w:lvlJc w:val="left"/>
      <w:pPr>
        <w:ind w:left="35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9" w:hanging="360"/>
      </w:pPr>
      <w:rPr>
        <w:rFonts w:ascii="Wingdings" w:hAnsi="Wingdings" w:hint="default"/>
      </w:rPr>
    </w:lvl>
  </w:abstractNum>
  <w:abstractNum w:abstractNumId="11">
    <w:nsid w:val="4E124A1E"/>
    <w:multiLevelType w:val="hybridMultilevel"/>
    <w:tmpl w:val="A65EE0B6"/>
    <w:lvl w:ilvl="0" w:tplc="040C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71728836" w:tentative="1">
      <w:start w:val="1"/>
      <w:numFmt w:val="bullet"/>
      <w:lvlText w:val="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1C1CAFBE" w:tentative="1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>
    <w:nsid w:val="5238644F"/>
    <w:multiLevelType w:val="hybridMultilevel"/>
    <w:tmpl w:val="EA402098"/>
    <w:lvl w:ilvl="0" w:tplc="72AE06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12925"/>
    <w:multiLevelType w:val="hybridMultilevel"/>
    <w:tmpl w:val="0ED66AA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38"/>
    <w:rsid w:val="00026F55"/>
    <w:rsid w:val="0008543A"/>
    <w:rsid w:val="0009264B"/>
    <w:rsid w:val="000A3E2F"/>
    <w:rsid w:val="000B6149"/>
    <w:rsid w:val="000C3A09"/>
    <w:rsid w:val="000C3CBD"/>
    <w:rsid w:val="001375C6"/>
    <w:rsid w:val="00143DC2"/>
    <w:rsid w:val="001531FF"/>
    <w:rsid w:val="0015509D"/>
    <w:rsid w:val="00162A4E"/>
    <w:rsid w:val="0016696F"/>
    <w:rsid w:val="0018302B"/>
    <w:rsid w:val="00187589"/>
    <w:rsid w:val="001A1A9F"/>
    <w:rsid w:val="001C56E1"/>
    <w:rsid w:val="001D5456"/>
    <w:rsid w:val="001E4D2C"/>
    <w:rsid w:val="001F1E5A"/>
    <w:rsid w:val="001F3106"/>
    <w:rsid w:val="001F5307"/>
    <w:rsid w:val="001F5CB8"/>
    <w:rsid w:val="001F6047"/>
    <w:rsid w:val="002008C4"/>
    <w:rsid w:val="002104E9"/>
    <w:rsid w:val="002127C9"/>
    <w:rsid w:val="002348D9"/>
    <w:rsid w:val="00234CC9"/>
    <w:rsid w:val="00234E42"/>
    <w:rsid w:val="00234E6A"/>
    <w:rsid w:val="00245E46"/>
    <w:rsid w:val="00262FD9"/>
    <w:rsid w:val="002D70F9"/>
    <w:rsid w:val="003131B5"/>
    <w:rsid w:val="00317121"/>
    <w:rsid w:val="0032047B"/>
    <w:rsid w:val="003236F5"/>
    <w:rsid w:val="00334642"/>
    <w:rsid w:val="00364A1C"/>
    <w:rsid w:val="003D53BF"/>
    <w:rsid w:val="003E1545"/>
    <w:rsid w:val="003F067A"/>
    <w:rsid w:val="00434EAD"/>
    <w:rsid w:val="00457220"/>
    <w:rsid w:val="0046623B"/>
    <w:rsid w:val="004859B5"/>
    <w:rsid w:val="004B65E2"/>
    <w:rsid w:val="004C697B"/>
    <w:rsid w:val="004D73A9"/>
    <w:rsid w:val="004F3EEB"/>
    <w:rsid w:val="0050378A"/>
    <w:rsid w:val="0050682F"/>
    <w:rsid w:val="00521E7F"/>
    <w:rsid w:val="00560960"/>
    <w:rsid w:val="005648B3"/>
    <w:rsid w:val="005847A0"/>
    <w:rsid w:val="005869C1"/>
    <w:rsid w:val="00593D29"/>
    <w:rsid w:val="005A5594"/>
    <w:rsid w:val="005A70C4"/>
    <w:rsid w:val="005E3096"/>
    <w:rsid w:val="005F4FC7"/>
    <w:rsid w:val="00613F71"/>
    <w:rsid w:val="00625A01"/>
    <w:rsid w:val="006B5A4C"/>
    <w:rsid w:val="006B66DD"/>
    <w:rsid w:val="006D36C0"/>
    <w:rsid w:val="006E5132"/>
    <w:rsid w:val="007060BA"/>
    <w:rsid w:val="00746DAC"/>
    <w:rsid w:val="00771D40"/>
    <w:rsid w:val="00772030"/>
    <w:rsid w:val="0078525D"/>
    <w:rsid w:val="00786543"/>
    <w:rsid w:val="00797438"/>
    <w:rsid w:val="007B2F5D"/>
    <w:rsid w:val="007B5120"/>
    <w:rsid w:val="007B77B0"/>
    <w:rsid w:val="007D7090"/>
    <w:rsid w:val="007F0770"/>
    <w:rsid w:val="00802768"/>
    <w:rsid w:val="00820A80"/>
    <w:rsid w:val="008E0AC8"/>
    <w:rsid w:val="008E350D"/>
    <w:rsid w:val="008E4DB2"/>
    <w:rsid w:val="00910A09"/>
    <w:rsid w:val="0096447B"/>
    <w:rsid w:val="009E37AC"/>
    <w:rsid w:val="00A16566"/>
    <w:rsid w:val="00A21F27"/>
    <w:rsid w:val="00A326B4"/>
    <w:rsid w:val="00A37DD2"/>
    <w:rsid w:val="00A43D32"/>
    <w:rsid w:val="00A82505"/>
    <w:rsid w:val="00AB4A1D"/>
    <w:rsid w:val="00AD4597"/>
    <w:rsid w:val="00B17B89"/>
    <w:rsid w:val="00B23C65"/>
    <w:rsid w:val="00B33A54"/>
    <w:rsid w:val="00B46CDE"/>
    <w:rsid w:val="00B61FE4"/>
    <w:rsid w:val="00B8206F"/>
    <w:rsid w:val="00B95461"/>
    <w:rsid w:val="00B96799"/>
    <w:rsid w:val="00BC3C40"/>
    <w:rsid w:val="00BD387F"/>
    <w:rsid w:val="00BD5234"/>
    <w:rsid w:val="00BD5999"/>
    <w:rsid w:val="00C0133A"/>
    <w:rsid w:val="00C104C6"/>
    <w:rsid w:val="00C11F38"/>
    <w:rsid w:val="00C31DAE"/>
    <w:rsid w:val="00C80B4D"/>
    <w:rsid w:val="00CA70BC"/>
    <w:rsid w:val="00CB693D"/>
    <w:rsid w:val="00CD5B35"/>
    <w:rsid w:val="00CE6A03"/>
    <w:rsid w:val="00CF09C0"/>
    <w:rsid w:val="00CF29D0"/>
    <w:rsid w:val="00D045FA"/>
    <w:rsid w:val="00D178D4"/>
    <w:rsid w:val="00D542F6"/>
    <w:rsid w:val="00D62B21"/>
    <w:rsid w:val="00E37A5A"/>
    <w:rsid w:val="00E67295"/>
    <w:rsid w:val="00E85729"/>
    <w:rsid w:val="00F05DF6"/>
    <w:rsid w:val="00F37E06"/>
    <w:rsid w:val="00F4544C"/>
    <w:rsid w:val="00F45993"/>
    <w:rsid w:val="00F774CA"/>
    <w:rsid w:val="00F8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037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72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22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572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722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572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722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037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72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22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572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722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572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722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8</Pages>
  <Words>1166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</dc:creator>
  <cp:lastModifiedBy>fgeremia</cp:lastModifiedBy>
  <cp:revision>70</cp:revision>
  <cp:lastPrinted>2015-06-29T07:27:00Z</cp:lastPrinted>
  <dcterms:created xsi:type="dcterms:W3CDTF">2013-03-25T12:48:00Z</dcterms:created>
  <dcterms:modified xsi:type="dcterms:W3CDTF">2015-06-29T07:33:00Z</dcterms:modified>
</cp:coreProperties>
</file>