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B36" w:rsidRDefault="00184B36">
      <w:pPr>
        <w:spacing w:line="360" w:lineRule="atLeast"/>
        <w:jc w:val="center"/>
        <w:rPr>
          <w:b/>
          <w:sz w:val="28"/>
          <w:szCs w:val="28"/>
          <w:u w:val="single"/>
        </w:rPr>
      </w:pPr>
    </w:p>
    <w:p w:rsidR="00C301F2" w:rsidRDefault="00C96403">
      <w:pPr>
        <w:spacing w:line="360" w:lineRule="atLeast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VULNERABILITE AU VENT</w:t>
      </w:r>
      <w:r w:rsidR="00C301F2">
        <w:rPr>
          <w:b/>
          <w:sz w:val="28"/>
          <w:szCs w:val="28"/>
          <w:u w:val="single"/>
        </w:rPr>
        <w:t xml:space="preserve"> DES GRANDS FEUILLUS </w:t>
      </w:r>
    </w:p>
    <w:p w:rsidR="00C301F2" w:rsidRDefault="00C301F2">
      <w:pPr>
        <w:spacing w:line="360" w:lineRule="atLeast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DE PLAINE</w:t>
      </w:r>
    </w:p>
    <w:p w:rsidR="00C96403" w:rsidRDefault="00C96403">
      <w:pPr>
        <w:spacing w:line="360" w:lineRule="atLeast"/>
        <w:jc w:val="center"/>
        <w:rPr>
          <w:b/>
          <w:sz w:val="28"/>
          <w:szCs w:val="28"/>
          <w:u w:val="single"/>
        </w:rPr>
      </w:pPr>
    </w:p>
    <w:p w:rsidR="007A6273" w:rsidRDefault="007A6273" w:rsidP="007A6273">
      <w:pPr>
        <w:jc w:val="both"/>
        <w:outlineLvl w:val="0"/>
        <w:rPr>
          <w:rFonts w:ascii="Times New Roman" w:hAnsi="Times New Roman" w:cs="Times New Roman"/>
          <w:b/>
          <w:szCs w:val="24"/>
          <w:u w:val="single"/>
        </w:rPr>
      </w:pPr>
      <w:r w:rsidRPr="007A6273">
        <w:rPr>
          <w:rFonts w:ascii="Times New Roman" w:hAnsi="Times New Roman" w:cs="Times New Roman"/>
          <w:b/>
          <w:szCs w:val="24"/>
          <w:u w:val="single"/>
        </w:rPr>
        <w:t xml:space="preserve">Nom pour BDD: </w:t>
      </w:r>
    </w:p>
    <w:p w:rsidR="007A6273" w:rsidRDefault="007A6273" w:rsidP="007A6273">
      <w:pPr>
        <w:rPr>
          <w:rFonts w:ascii="Times New Roman" w:hAnsi="Times New Roman" w:cs="Times New Roman"/>
          <w:szCs w:val="24"/>
        </w:rPr>
      </w:pPr>
      <w:r w:rsidRPr="007A6273">
        <w:rPr>
          <w:rFonts w:ascii="Times New Roman" w:hAnsi="Times New Roman" w:cs="Times New Roman"/>
          <w:szCs w:val="24"/>
        </w:rPr>
        <w:tab/>
      </w:r>
    </w:p>
    <w:p w:rsidR="007A6273" w:rsidRDefault="00976E3A" w:rsidP="007A6273">
      <w:pPr>
        <w:numPr>
          <w:ilvl w:val="0"/>
          <w:numId w:val="21"/>
        </w:numPr>
        <w:ind w:left="709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tempête</w:t>
      </w:r>
      <w:r w:rsidR="009F2795">
        <w:rPr>
          <w:rFonts w:ascii="Times New Roman" w:hAnsi="Times New Roman" w:cs="Times New Roman"/>
          <w:szCs w:val="24"/>
        </w:rPr>
        <w:t xml:space="preserve"> </w:t>
      </w:r>
      <w:r w:rsidR="004C0936">
        <w:rPr>
          <w:rFonts w:ascii="Times New Roman" w:hAnsi="Times New Roman" w:cs="Times New Roman"/>
          <w:szCs w:val="24"/>
        </w:rPr>
        <w:t>f</w:t>
      </w:r>
      <w:r w:rsidR="007A6273">
        <w:rPr>
          <w:rFonts w:ascii="Times New Roman" w:hAnsi="Times New Roman" w:cs="Times New Roman"/>
          <w:szCs w:val="24"/>
        </w:rPr>
        <w:t xml:space="preserve">euillus de plaine, </w:t>
      </w:r>
    </w:p>
    <w:p w:rsidR="007A6273" w:rsidRPr="007A6273" w:rsidRDefault="007A6273" w:rsidP="007A6273">
      <w:pPr>
        <w:rPr>
          <w:rFonts w:ascii="Times New Roman" w:hAnsi="Times New Roman" w:cs="Times New Roman"/>
          <w:sz w:val="28"/>
          <w:szCs w:val="28"/>
        </w:rPr>
      </w:pPr>
    </w:p>
    <w:p w:rsidR="007A6273" w:rsidRPr="007A6273" w:rsidRDefault="007A6273" w:rsidP="007A6273">
      <w:pPr>
        <w:jc w:val="both"/>
        <w:outlineLvl w:val="0"/>
        <w:rPr>
          <w:rFonts w:ascii="Times New Roman" w:hAnsi="Times New Roman" w:cs="Times New Roman"/>
          <w:b/>
          <w:szCs w:val="24"/>
          <w:u w:val="single"/>
        </w:rPr>
      </w:pPr>
      <w:r w:rsidRPr="007A6273">
        <w:rPr>
          <w:rFonts w:ascii="Times New Roman" w:hAnsi="Times New Roman" w:cs="Times New Roman"/>
          <w:b/>
          <w:szCs w:val="24"/>
          <w:u w:val="single"/>
        </w:rPr>
        <w:t xml:space="preserve">Nom complet : </w:t>
      </w:r>
    </w:p>
    <w:p w:rsidR="007A6273" w:rsidRPr="007A6273" w:rsidRDefault="007A6273" w:rsidP="007A6273">
      <w:pPr>
        <w:jc w:val="both"/>
        <w:rPr>
          <w:rFonts w:ascii="Times New Roman" w:hAnsi="Times New Roman" w:cs="Times New Roman"/>
          <w:b/>
          <w:szCs w:val="24"/>
        </w:rPr>
      </w:pPr>
    </w:p>
    <w:p w:rsidR="007A6273" w:rsidRPr="007A6273" w:rsidRDefault="00C96403" w:rsidP="007A6273">
      <w:pPr>
        <w:numPr>
          <w:ilvl w:val="0"/>
          <w:numId w:val="18"/>
        </w:numPr>
        <w:ind w:left="709" w:hanging="425"/>
        <w:jc w:val="center"/>
        <w:rPr>
          <w:szCs w:val="24"/>
        </w:rPr>
      </w:pPr>
      <w:r>
        <w:rPr>
          <w:szCs w:val="24"/>
        </w:rPr>
        <w:t>Vulnéra</w:t>
      </w:r>
      <w:r w:rsidR="00327570">
        <w:rPr>
          <w:szCs w:val="24"/>
        </w:rPr>
        <w:t>bilité</w:t>
      </w:r>
      <w:r w:rsidR="007A6273" w:rsidRPr="007A6273">
        <w:rPr>
          <w:szCs w:val="24"/>
        </w:rPr>
        <w:t xml:space="preserve"> des grands feuillus de plaine (chêne pédonculé, chêne sessile et hêtre)</w:t>
      </w:r>
      <w:r w:rsidR="00327570">
        <w:rPr>
          <w:szCs w:val="24"/>
        </w:rPr>
        <w:t xml:space="preserve"> aux </w:t>
      </w:r>
      <w:r w:rsidR="00D07390">
        <w:rPr>
          <w:szCs w:val="24"/>
        </w:rPr>
        <w:t>vents violents</w:t>
      </w:r>
    </w:p>
    <w:p w:rsidR="00184B36" w:rsidRPr="007A6273" w:rsidRDefault="00184B36" w:rsidP="007A6273">
      <w:pPr>
        <w:ind w:left="720"/>
        <w:jc w:val="both"/>
        <w:rPr>
          <w:rFonts w:ascii="Times New Roman" w:hAnsi="Times New Roman" w:cs="Times New Roman"/>
          <w:szCs w:val="24"/>
        </w:rPr>
      </w:pPr>
    </w:p>
    <w:p w:rsidR="00184B36" w:rsidRDefault="00184B36" w:rsidP="00184B36">
      <w:pPr>
        <w:rPr>
          <w:b/>
          <w:u w:val="single"/>
        </w:rPr>
      </w:pPr>
      <w:r w:rsidRPr="009866BB">
        <w:rPr>
          <w:b/>
          <w:u w:val="single"/>
        </w:rPr>
        <w:t xml:space="preserve">Abrégé : </w:t>
      </w:r>
    </w:p>
    <w:p w:rsidR="007A6273" w:rsidRPr="009866BB" w:rsidRDefault="007A6273" w:rsidP="00184B36">
      <w:pPr>
        <w:rPr>
          <w:b/>
          <w:u w:val="single"/>
        </w:rPr>
      </w:pPr>
    </w:p>
    <w:p w:rsidR="00184B36" w:rsidRDefault="00184B36" w:rsidP="007A6273">
      <w:pPr>
        <w:numPr>
          <w:ilvl w:val="0"/>
          <w:numId w:val="6"/>
        </w:numPr>
        <w:ind w:left="709" w:hanging="283"/>
      </w:pPr>
      <w:r>
        <w:t>FP</w:t>
      </w:r>
      <w:r w:rsidR="00327570">
        <w:t>T</w:t>
      </w:r>
    </w:p>
    <w:p w:rsidR="00184B36" w:rsidRDefault="00184B36" w:rsidP="00184B36">
      <w:pPr>
        <w:jc w:val="both"/>
      </w:pPr>
    </w:p>
    <w:p w:rsidR="00184B36" w:rsidRDefault="00184B36" w:rsidP="00184B36">
      <w:pPr>
        <w:jc w:val="both"/>
        <w:rPr>
          <w:b/>
          <w:u w:val="single"/>
        </w:rPr>
      </w:pPr>
      <w:r w:rsidRPr="009866BB">
        <w:rPr>
          <w:b/>
          <w:u w:val="single"/>
        </w:rPr>
        <w:t>Résumé :</w:t>
      </w:r>
    </w:p>
    <w:p w:rsidR="00EE7012" w:rsidRDefault="00EE7012" w:rsidP="00184B36">
      <w:pPr>
        <w:jc w:val="both"/>
        <w:rPr>
          <w:b/>
          <w:u w:val="single"/>
        </w:rPr>
      </w:pPr>
    </w:p>
    <w:p w:rsidR="008808F0" w:rsidRPr="00EE7012" w:rsidRDefault="00385521" w:rsidP="00385521">
      <w:pPr>
        <w:numPr>
          <w:ilvl w:val="0"/>
          <w:numId w:val="6"/>
        </w:numPr>
        <w:jc w:val="both"/>
      </w:pPr>
      <w:r>
        <w:t>Le 26 décembre 1999, en provenance de la Bretagne,  se déplaçant sur un front de 150 km de large, à la vitesse de 100</w:t>
      </w:r>
      <w:r w:rsidR="00E443A0">
        <w:t xml:space="preserve"> </w:t>
      </w:r>
      <w:r>
        <w:t>km, la tempête Lothar</w:t>
      </w:r>
      <w:r w:rsidR="00D07390" w:rsidRPr="00D07390">
        <w:t xml:space="preserve"> </w:t>
      </w:r>
      <w:r w:rsidR="00D07390">
        <w:t xml:space="preserve">a </w:t>
      </w:r>
      <w:r w:rsidR="00E443A0">
        <w:t>dévasté</w:t>
      </w:r>
      <w:r w:rsidR="00D07390">
        <w:t xml:space="preserve"> le nord de la France et de la Suisse, l’Allemagne et le Danemark</w:t>
      </w:r>
      <w:r>
        <w:t xml:space="preserve">. Ses vents </w:t>
      </w:r>
      <w:r w:rsidR="00E443A0">
        <w:t>extrêmes</w:t>
      </w:r>
      <w:r>
        <w:t xml:space="preserve"> (autour de 150 km/h) de force équivalente à un ouragan de catégorie 1 ont</w:t>
      </w:r>
      <w:r w:rsidR="00D07390">
        <w:t xml:space="preserve"> </w:t>
      </w:r>
      <w:r>
        <w:t>occasio</w:t>
      </w:r>
      <w:r w:rsidR="00D07390">
        <w:t>nné</w:t>
      </w:r>
      <w:r>
        <w:t xml:space="preserve"> un grand nombre de chablis de</w:t>
      </w:r>
      <w:r w:rsidR="00D07390">
        <w:t xml:space="preserve"> h</w:t>
      </w:r>
      <w:r>
        <w:t>être</w:t>
      </w:r>
      <w:r w:rsidR="00D07390">
        <w:t>s</w:t>
      </w:r>
      <w:r>
        <w:t xml:space="preserve"> et, sur les sols meubles, de chênes, notamment dans des forêts lorrai</w:t>
      </w:r>
      <w:r w:rsidR="00E443A0">
        <w:t>nes étudiées par Becker et Lévy</w:t>
      </w:r>
      <w:r>
        <w:t xml:space="preserve"> quelques années auparavant</w:t>
      </w:r>
      <w:r w:rsidR="00D07390">
        <w:t xml:space="preserve"> pour c</w:t>
      </w:r>
      <w:r w:rsidR="00E443A0">
        <w:t>aractériser</w:t>
      </w:r>
      <w:r>
        <w:t xml:space="preserve"> l’autécologie des grands feuillus de plaine.</w:t>
      </w:r>
      <w:r w:rsidR="00EE7012">
        <w:t xml:space="preserve"> </w:t>
      </w:r>
      <w:r>
        <w:t>L’inventaire et la description des arbres endommagés</w:t>
      </w:r>
      <w:r w:rsidR="00E443A0">
        <w:t>, dans les mois qui ont suivi la tempête,</w:t>
      </w:r>
      <w:r>
        <w:t xml:space="preserve"> a permis d’étudier les</w:t>
      </w:r>
      <w:r w:rsidR="00F04675">
        <w:t xml:space="preserve"> facteurs </w:t>
      </w:r>
      <w:r>
        <w:t>de vulnérabilité de ces arbres aux vents violents</w:t>
      </w:r>
      <w:r w:rsidR="00FF0A74">
        <w:t>, notamment grâce aux don</w:t>
      </w:r>
      <w:r w:rsidR="00C8096B">
        <w:t xml:space="preserve">nées acquises précédemment sur </w:t>
      </w:r>
      <w:r w:rsidR="00E443A0">
        <w:t>l</w:t>
      </w:r>
      <w:r w:rsidR="00FF0A74">
        <w:t xml:space="preserve">es arbres (hauteur, diamètre de houppier, circonférence, </w:t>
      </w:r>
      <w:r w:rsidR="00E443A0">
        <w:t>croissance radiale</w:t>
      </w:r>
      <w:r w:rsidR="00FF0A74">
        <w:t>) et les stations (sol, végétation).</w:t>
      </w:r>
    </w:p>
    <w:p w:rsidR="00184B36" w:rsidRPr="009866BB" w:rsidRDefault="00184B36" w:rsidP="00184B36">
      <w:pPr>
        <w:jc w:val="both"/>
        <w:rPr>
          <w:b/>
          <w:u w:val="single"/>
        </w:rPr>
      </w:pPr>
    </w:p>
    <w:p w:rsidR="00184B36" w:rsidRDefault="00184B36" w:rsidP="00184B36">
      <w:pPr>
        <w:jc w:val="both"/>
      </w:pPr>
    </w:p>
    <w:p w:rsidR="00184B36" w:rsidRDefault="00184B36" w:rsidP="00184B36">
      <w:pPr>
        <w:jc w:val="both"/>
        <w:rPr>
          <w:b/>
          <w:u w:val="single"/>
        </w:rPr>
      </w:pPr>
      <w:r w:rsidRPr="009866BB">
        <w:rPr>
          <w:b/>
          <w:u w:val="single"/>
        </w:rPr>
        <w:t xml:space="preserve">Objectifs : </w:t>
      </w:r>
    </w:p>
    <w:p w:rsidR="00FE77CA" w:rsidRPr="009866BB" w:rsidRDefault="00FE77CA" w:rsidP="00184B36">
      <w:pPr>
        <w:jc w:val="both"/>
        <w:rPr>
          <w:b/>
          <w:u w:val="single"/>
        </w:rPr>
      </w:pPr>
    </w:p>
    <w:p w:rsidR="00EE7012" w:rsidRDefault="00BD484E" w:rsidP="006A1361">
      <w:pPr>
        <w:numPr>
          <w:ilvl w:val="0"/>
          <w:numId w:val="16"/>
        </w:numPr>
        <w:ind w:hanging="294"/>
        <w:jc w:val="both"/>
      </w:pPr>
      <w:r>
        <w:t>Identifier les facteurs individuels (statut social de l’arbre, historique de croissance)</w:t>
      </w:r>
      <w:r w:rsidR="00385521">
        <w:t xml:space="preserve"> et </w:t>
      </w:r>
      <w:proofErr w:type="spellStart"/>
      <w:r w:rsidR="00385521">
        <w:t>stationnels</w:t>
      </w:r>
      <w:proofErr w:type="spellEnd"/>
      <w:r w:rsidR="00385521">
        <w:t xml:space="preserve"> de vulnérabilité des hêtres et des chênes aux vents violents</w:t>
      </w:r>
    </w:p>
    <w:p w:rsidR="00184B36" w:rsidRDefault="00184B36" w:rsidP="00184B36">
      <w:pPr>
        <w:jc w:val="both"/>
      </w:pPr>
    </w:p>
    <w:p w:rsidR="00184B36" w:rsidRDefault="00184B36" w:rsidP="00184B36">
      <w:pPr>
        <w:jc w:val="both"/>
      </w:pPr>
    </w:p>
    <w:p w:rsidR="00184B36" w:rsidRDefault="00184B36" w:rsidP="00184B36">
      <w:pPr>
        <w:jc w:val="both"/>
        <w:rPr>
          <w:b/>
          <w:u w:val="single"/>
        </w:rPr>
      </w:pPr>
      <w:r w:rsidRPr="009866BB">
        <w:rPr>
          <w:b/>
          <w:u w:val="single"/>
        </w:rPr>
        <w:t>Protocole de prélèvement et d’observation :</w:t>
      </w:r>
    </w:p>
    <w:p w:rsidR="00203BC7" w:rsidRDefault="00203BC7" w:rsidP="00184B36">
      <w:pPr>
        <w:jc w:val="both"/>
        <w:rPr>
          <w:b/>
          <w:u w:val="single"/>
        </w:rPr>
      </w:pPr>
    </w:p>
    <w:p w:rsidR="00243D11" w:rsidRPr="00243D11" w:rsidRDefault="00385521" w:rsidP="009F2795">
      <w:pPr>
        <w:ind w:left="426" w:firstLine="283"/>
        <w:jc w:val="both"/>
      </w:pPr>
      <w:r>
        <w:t>L’é</w:t>
      </w:r>
      <w:r w:rsidR="00BD484E">
        <w:t xml:space="preserve">chantillon réutilisé </w:t>
      </w:r>
      <w:r>
        <w:t>concerne des</w:t>
      </w:r>
      <w:r w:rsidR="0061693C">
        <w:t xml:space="preserve"> peuplements naturels de chênes pédonculés, de chênes sessiles et de hêtres,</w:t>
      </w:r>
      <w:r w:rsidR="00383005">
        <w:t xml:space="preserve"> purs ou mélangés,</w:t>
      </w:r>
      <w:r w:rsidR="0061693C">
        <w:t xml:space="preserve"> d’âges va</w:t>
      </w:r>
      <w:r w:rsidR="00BD484E">
        <w:t>riés, traités en futaie ou en TSF</w:t>
      </w:r>
      <w:r w:rsidR="0061693C">
        <w:t xml:space="preserve"> en conversion, situés en forêt domaniale ou communale dans un rayon de 30 - </w:t>
      </w:r>
      <w:smartTag w:uri="urn:schemas-microsoft-com:office:smarttags" w:element="metricconverter">
        <w:smartTagPr>
          <w:attr w:name="ProductID" w:val="40 km"/>
        </w:smartTagPr>
        <w:r w:rsidR="0061693C">
          <w:t>40 km</w:t>
        </w:r>
      </w:smartTag>
      <w:r w:rsidR="0061693C">
        <w:t xml:space="preserve"> autour de Nancy.  </w:t>
      </w:r>
    </w:p>
    <w:p w:rsidR="00385521" w:rsidRDefault="00A54E75" w:rsidP="00385521">
      <w:pPr>
        <w:ind w:left="426" w:firstLine="283"/>
      </w:pPr>
      <w:r>
        <w:t xml:space="preserve">2 grandes zones pédologiques </w:t>
      </w:r>
      <w:r w:rsidR="00FE77CA">
        <w:t xml:space="preserve">de Lorraine </w:t>
      </w:r>
      <w:r>
        <w:t xml:space="preserve">ont été </w:t>
      </w:r>
      <w:r w:rsidR="00243D11">
        <w:t>distinguées</w:t>
      </w:r>
      <w:r w:rsidR="00F3745A">
        <w:t> : l</w:t>
      </w:r>
      <w:r w:rsidR="00FE77CA">
        <w:t xml:space="preserve">es </w:t>
      </w:r>
      <w:r w:rsidR="00243D11">
        <w:t xml:space="preserve">sols </w:t>
      </w:r>
      <w:r w:rsidR="00A46E97">
        <w:t>à couverture limoneuse discontinue sur marnes du Lias (LM)</w:t>
      </w:r>
      <w:r w:rsidR="00243D11">
        <w:t>, favorables à la croissance de ces espèces, et les sols alluviaux</w:t>
      </w:r>
      <w:r w:rsidR="00AF43C3">
        <w:t xml:space="preserve"> (All)</w:t>
      </w:r>
      <w:r w:rsidR="00243D11">
        <w:t xml:space="preserve"> de la vallée de la Meurthe, plus contraignants car plus </w:t>
      </w:r>
      <w:proofErr w:type="spellStart"/>
      <w:r w:rsidR="00243D11">
        <w:t>hydromorphes</w:t>
      </w:r>
      <w:proofErr w:type="spellEnd"/>
      <w:r w:rsidR="00243D11">
        <w:t xml:space="preserve"> et plus acides</w:t>
      </w:r>
      <w:r w:rsidR="00385521">
        <w:t>, et aussi plus meubles</w:t>
      </w:r>
      <w:r w:rsidR="00243D11">
        <w:t>.</w:t>
      </w:r>
    </w:p>
    <w:p w:rsidR="006A1361" w:rsidRDefault="006A1361" w:rsidP="00800FEA">
      <w:pPr>
        <w:ind w:left="426" w:firstLine="283"/>
      </w:pPr>
      <w:r>
        <w:t>.</w:t>
      </w:r>
    </w:p>
    <w:p w:rsidR="006A1361" w:rsidRDefault="006A1361" w:rsidP="00243D11">
      <w:pPr>
        <w:ind w:left="720"/>
      </w:pPr>
    </w:p>
    <w:p w:rsidR="00FE77CA" w:rsidRPr="00FE77CA" w:rsidRDefault="00FE77CA" w:rsidP="00FE77CA">
      <w:pPr>
        <w:ind w:left="720"/>
      </w:pPr>
    </w:p>
    <w:p w:rsidR="00FE77CA" w:rsidRPr="0058164E" w:rsidRDefault="00FE77CA" w:rsidP="009F2795">
      <w:pPr>
        <w:numPr>
          <w:ilvl w:val="0"/>
          <w:numId w:val="9"/>
        </w:numPr>
        <w:ind w:left="851" w:hanging="425"/>
        <w:jc w:val="both"/>
        <w:rPr>
          <w:b/>
          <w:u w:val="single"/>
        </w:rPr>
      </w:pPr>
      <w:r w:rsidRPr="0058164E">
        <w:rPr>
          <w:b/>
          <w:u w:val="single"/>
        </w:rPr>
        <w:t>Placettes :</w:t>
      </w:r>
      <w:r w:rsidR="0078408C">
        <w:t xml:space="preserve"> fichier « FPDe_placettes_pour_BDD.xlsx »</w:t>
      </w:r>
    </w:p>
    <w:p w:rsidR="00FE77CA" w:rsidRPr="00A07BE3" w:rsidRDefault="00FE77CA" w:rsidP="00FE77CA">
      <w:pPr>
        <w:ind w:left="1425"/>
        <w:jc w:val="both"/>
        <w:rPr>
          <w:u w:val="single"/>
        </w:rPr>
      </w:pPr>
    </w:p>
    <w:p w:rsidR="00203BC7" w:rsidRPr="00FE77CA" w:rsidRDefault="0061693C" w:rsidP="006A1361">
      <w:pPr>
        <w:numPr>
          <w:ilvl w:val="0"/>
          <w:numId w:val="12"/>
        </w:numPr>
        <w:ind w:left="1276" w:hanging="283"/>
        <w:jc w:val="both"/>
        <w:rPr>
          <w:b/>
          <w:szCs w:val="24"/>
        </w:rPr>
      </w:pPr>
      <w:r>
        <w:t xml:space="preserve">  </w:t>
      </w:r>
      <w:r w:rsidR="00FE77CA">
        <w:t>303 placettes de 5 arbres maximum par espèce prés</w:t>
      </w:r>
      <w:r>
        <w:t>ente.</w:t>
      </w:r>
    </w:p>
    <w:p w:rsidR="00FE77CA" w:rsidRDefault="006A1361" w:rsidP="004C0936">
      <w:pPr>
        <w:numPr>
          <w:ilvl w:val="0"/>
          <w:numId w:val="12"/>
        </w:numPr>
        <w:ind w:left="1418" w:hanging="425"/>
        <w:jc w:val="both"/>
        <w:rPr>
          <w:b/>
          <w:szCs w:val="24"/>
        </w:rPr>
      </w:pPr>
      <w:r>
        <w:t>Remarque : Il n’y a pas de placette n°100</w:t>
      </w:r>
    </w:p>
    <w:p w:rsidR="00B735E7" w:rsidRDefault="00B735E7" w:rsidP="006A1361">
      <w:pPr>
        <w:jc w:val="both"/>
      </w:pPr>
    </w:p>
    <w:p w:rsidR="00B735E7" w:rsidRDefault="00B735E7" w:rsidP="006A1361">
      <w:pPr>
        <w:jc w:val="both"/>
      </w:pPr>
    </w:p>
    <w:p w:rsidR="006A1361" w:rsidRPr="0058164E" w:rsidRDefault="006A1361" w:rsidP="00BB3FD7">
      <w:pPr>
        <w:pStyle w:val="Paragraphedeliste"/>
        <w:numPr>
          <w:ilvl w:val="0"/>
          <w:numId w:val="27"/>
        </w:numPr>
        <w:jc w:val="both"/>
        <w:rPr>
          <w:b/>
          <w:u w:val="single"/>
        </w:rPr>
      </w:pPr>
      <w:r w:rsidRPr="0058164E">
        <w:rPr>
          <w:b/>
          <w:u w:val="single"/>
        </w:rPr>
        <w:t>Arbres :</w:t>
      </w:r>
      <w:r w:rsidR="003A0D2A">
        <w:t xml:space="preserve"> fichier « </w:t>
      </w:r>
      <w:r w:rsidR="0078408C">
        <w:t>FP</w:t>
      </w:r>
      <w:r w:rsidR="00385521">
        <w:t>T</w:t>
      </w:r>
      <w:r w:rsidR="0078408C">
        <w:t>_arbres_pour_BDD.xlsx »</w:t>
      </w:r>
    </w:p>
    <w:p w:rsidR="00203BC7" w:rsidRDefault="00203BC7" w:rsidP="006A1361">
      <w:pPr>
        <w:jc w:val="both"/>
      </w:pPr>
    </w:p>
    <w:p w:rsidR="00FE4B56" w:rsidRPr="008E66CA" w:rsidRDefault="00FE4B56" w:rsidP="00E53091">
      <w:pPr>
        <w:ind w:left="2160" w:hanging="284"/>
        <w:jc w:val="both"/>
      </w:pPr>
    </w:p>
    <w:p w:rsidR="001A6B1C" w:rsidRDefault="00800FEA" w:rsidP="00E53091">
      <w:pPr>
        <w:ind w:left="1276" w:hanging="284"/>
      </w:pPr>
      <w:r>
        <w:t>Sur les arbres retro</w:t>
      </w:r>
      <w:r w:rsidR="00621CC6">
        <w:t>uvés après la tempête Lothar, Yves Lefèvre</w:t>
      </w:r>
      <w:r>
        <w:t xml:space="preserve"> a effectué les observations et mesures suivantes </w:t>
      </w:r>
      <w:r w:rsidR="00055ECA">
        <w:t>en février et mars 2000 :</w:t>
      </w:r>
    </w:p>
    <w:p w:rsidR="00FE4B56" w:rsidRDefault="00D66602" w:rsidP="00D66602">
      <w:pPr>
        <w:numPr>
          <w:ilvl w:val="2"/>
          <w:numId w:val="3"/>
        </w:numPr>
        <w:ind w:hanging="284"/>
        <w:jc w:val="both"/>
      </w:pPr>
      <w:r>
        <w:t>Diamètre (</w:t>
      </w:r>
      <w:r w:rsidR="00FE4B56">
        <w:t>FP</w:t>
      </w:r>
      <w:r>
        <w:t>T</w:t>
      </w:r>
      <w:r w:rsidR="00FE4B56" w:rsidRPr="008E1C35">
        <w:t>_</w:t>
      </w:r>
      <w:r w:rsidR="00FE4B56">
        <w:t>D</w:t>
      </w:r>
      <w:r>
        <w:t>_</w:t>
      </w:r>
      <w:proofErr w:type="gramStart"/>
      <w:r>
        <w:t>1,30</w:t>
      </w:r>
      <w:r w:rsidR="00BD484E">
        <w:rPr>
          <w:vertAlign w:val="superscript"/>
        </w:rPr>
        <w:t> </w:t>
      </w:r>
      <w:r w:rsidR="00BD484E">
        <w:t>)</w:t>
      </w:r>
      <w:proofErr w:type="gramEnd"/>
      <w:r w:rsidR="00FE4B56">
        <w:t xml:space="preserve"> ou </w:t>
      </w:r>
      <w:r w:rsidR="00BD484E">
        <w:t>c</w:t>
      </w:r>
      <w:r w:rsidR="00FE4B56" w:rsidRPr="008E1C35">
        <w:t>irconférence (</w:t>
      </w:r>
      <w:r w:rsidR="00FE4B56">
        <w:t>FP</w:t>
      </w:r>
      <w:r w:rsidR="00FE4B56" w:rsidRPr="008E1C35">
        <w:t>De_C_1,30)</w:t>
      </w:r>
      <w:r w:rsidR="00FE4B56">
        <w:t xml:space="preserve"> </w:t>
      </w:r>
      <w:r w:rsidR="00BD484E">
        <w:t>mesurés</w:t>
      </w:r>
      <w:r w:rsidR="00FE4B56" w:rsidRPr="008E1C35">
        <w:t xml:space="preserve"> à 1,30m </w:t>
      </w:r>
      <w:r w:rsidR="00FE4B56">
        <w:t xml:space="preserve">du collet, au compas forestier ou au ruban,  </w:t>
      </w:r>
      <w:r w:rsidR="00BD484E">
        <w:t>précis au centimètre et exprimés</w:t>
      </w:r>
      <w:r w:rsidR="00FE4B56">
        <w:t xml:space="preserve"> en centimètre.</w:t>
      </w:r>
    </w:p>
    <w:p w:rsidR="00D66602" w:rsidRDefault="00D66602" w:rsidP="00D66602">
      <w:pPr>
        <w:numPr>
          <w:ilvl w:val="2"/>
          <w:numId w:val="3"/>
        </w:numPr>
        <w:ind w:hanging="284"/>
        <w:jc w:val="both"/>
      </w:pPr>
      <w:r>
        <w:t>Date de mort estimée : P</w:t>
      </w:r>
      <w:r>
        <w:t>our les chablis</w:t>
      </w:r>
      <w:r>
        <w:t xml:space="preserve"> c’est la date de la tempête. Pour les autres arbres dont on ne retrouve que la souche, c’est la date moyenne entre la dernière date où l’arbre a été vu vivant et la date où l’arbre a disparu, car il a été exploité. Cette date est accompagnée de sa précision qui est le nombre de jours séparant</w:t>
      </w:r>
      <w:bookmarkStart w:id="0" w:name="_GoBack"/>
      <w:bookmarkEnd w:id="0"/>
      <w:r>
        <w:t xml:space="preserve"> les 2 observations</w:t>
      </w:r>
    </w:p>
    <w:p w:rsidR="006A1361" w:rsidRPr="00BD484E" w:rsidRDefault="00BD484E" w:rsidP="00D66602">
      <w:pPr>
        <w:numPr>
          <w:ilvl w:val="0"/>
          <w:numId w:val="3"/>
        </w:numPr>
        <w:ind w:left="2127" w:hanging="284"/>
        <w:jc w:val="both"/>
      </w:pPr>
      <w:r w:rsidRPr="00BD484E">
        <w:t>E</w:t>
      </w:r>
      <w:r w:rsidR="00FE4B56" w:rsidRPr="00BD484E">
        <w:t xml:space="preserve">tat de l’arbre (brisé, </w:t>
      </w:r>
      <w:proofErr w:type="spellStart"/>
      <w:r w:rsidR="00FE4B56" w:rsidRPr="00BD484E">
        <w:t>chabli</w:t>
      </w:r>
      <w:proofErr w:type="spellEnd"/>
      <w:r w:rsidR="00FE4B56" w:rsidRPr="00BD484E">
        <w:t>, é</w:t>
      </w:r>
      <w:r w:rsidR="00EF22C9" w:rsidRPr="00BD484E">
        <w:t>cimé</w:t>
      </w:r>
      <w:r w:rsidR="00FE4B56" w:rsidRPr="00BD484E">
        <w:t>, exploité, intact, mort)</w:t>
      </w:r>
      <w:r w:rsidR="0026551E" w:rsidRPr="00BD484E">
        <w:t xml:space="preserve"> </w:t>
      </w:r>
    </w:p>
    <w:p w:rsidR="00473280" w:rsidRDefault="00E53091" w:rsidP="0026551E">
      <w:pPr>
        <w:ind w:left="993" w:firstLine="425"/>
      </w:pPr>
      <w:r w:rsidRPr="00BD484E">
        <w:t>Pour les chablis :</w:t>
      </w:r>
    </w:p>
    <w:p w:rsidR="00E53091" w:rsidRDefault="00B46F11" w:rsidP="00E53091">
      <w:pPr>
        <w:pStyle w:val="Paragraphedeliste"/>
        <w:numPr>
          <w:ilvl w:val="1"/>
          <w:numId w:val="1"/>
        </w:numPr>
        <w:tabs>
          <w:tab w:val="clear" w:pos="1440"/>
          <w:tab w:val="num" w:pos="2127"/>
        </w:tabs>
        <w:ind w:left="2127" w:hanging="284"/>
      </w:pPr>
      <w:r>
        <w:t>D</w:t>
      </w:r>
      <w:r w:rsidR="00E53091">
        <w:t>irection de chute de l’arbre (</w:t>
      </w:r>
      <w:proofErr w:type="spellStart"/>
      <w:r w:rsidR="00E53091" w:rsidRPr="00E53091">
        <w:t>azimuth</w:t>
      </w:r>
      <w:proofErr w:type="spellEnd"/>
      <w:r w:rsidR="00E53091">
        <w:t>)</w:t>
      </w:r>
      <w:r>
        <w:t xml:space="preserve"> : </w:t>
      </w:r>
      <w:r w:rsidR="00383005">
        <w:t>mesure angulaire en</w:t>
      </w:r>
      <w:r w:rsidR="00E53091">
        <w:t xml:space="preserve"> degré</w:t>
      </w:r>
      <w:r>
        <w:t>s</w:t>
      </w:r>
      <w:r w:rsidR="00E53091">
        <w:t xml:space="preserve"> entre le nord magnétique et l’axe du tronc dans le sens trigonométrique rétrograde.</w:t>
      </w:r>
    </w:p>
    <w:p w:rsidR="00E53091" w:rsidRDefault="00B46F11" w:rsidP="00E53091">
      <w:pPr>
        <w:pStyle w:val="Paragraphedeliste"/>
        <w:numPr>
          <w:ilvl w:val="1"/>
          <w:numId w:val="1"/>
        </w:numPr>
        <w:tabs>
          <w:tab w:val="clear" w:pos="1440"/>
          <w:tab w:val="num" w:pos="2127"/>
        </w:tabs>
        <w:ind w:left="2127" w:hanging="284"/>
      </w:pPr>
      <w:r>
        <w:t xml:space="preserve">Hauteur du culot </w:t>
      </w:r>
      <w:r w:rsidR="00E53091">
        <w:t xml:space="preserve">: hauteur </w:t>
      </w:r>
      <w:r>
        <w:t>en</w:t>
      </w:r>
      <w:r w:rsidR="0026551E">
        <w:t xml:space="preserve"> centimètre</w:t>
      </w:r>
      <w:r>
        <w:t>s</w:t>
      </w:r>
      <w:r w:rsidR="0026551E">
        <w:t xml:space="preserve"> du système racinaire et de la terre soulevés par le déracinement entre le niveau du sol et l’extrémité supérieure du</w:t>
      </w:r>
      <w:r>
        <w:t xml:space="preserve"> culot.</w:t>
      </w:r>
    </w:p>
    <w:p w:rsidR="0026551E" w:rsidRDefault="0026551E" w:rsidP="00E53091">
      <w:pPr>
        <w:pStyle w:val="Paragraphedeliste"/>
        <w:numPr>
          <w:ilvl w:val="1"/>
          <w:numId w:val="1"/>
        </w:numPr>
        <w:tabs>
          <w:tab w:val="clear" w:pos="1440"/>
          <w:tab w:val="num" w:pos="2127"/>
        </w:tabs>
        <w:ind w:left="2127" w:hanging="284"/>
      </w:pPr>
      <w:r>
        <w:t>Largeur du culot exp</w:t>
      </w:r>
      <w:r w:rsidR="00B46F11">
        <w:t>rimée en cm</w:t>
      </w:r>
      <w:r>
        <w:t>.</w:t>
      </w:r>
    </w:p>
    <w:p w:rsidR="0026551E" w:rsidRDefault="0026551E" w:rsidP="00E53091">
      <w:pPr>
        <w:pStyle w:val="Paragraphedeliste"/>
        <w:numPr>
          <w:ilvl w:val="1"/>
          <w:numId w:val="1"/>
        </w:numPr>
        <w:tabs>
          <w:tab w:val="clear" w:pos="1440"/>
          <w:tab w:val="num" w:pos="2127"/>
        </w:tabs>
        <w:ind w:left="2127" w:hanging="284"/>
      </w:pPr>
      <w:r>
        <w:t xml:space="preserve">Epaisseur du culot </w:t>
      </w:r>
      <w:r w:rsidR="00B46F11">
        <w:t>exprimée en cm</w:t>
      </w:r>
      <w:r>
        <w:t>.</w:t>
      </w:r>
    </w:p>
    <w:p w:rsidR="0026551E" w:rsidRPr="00B46F11" w:rsidRDefault="0026551E" w:rsidP="00E53091">
      <w:pPr>
        <w:pStyle w:val="Paragraphedeliste"/>
        <w:numPr>
          <w:ilvl w:val="1"/>
          <w:numId w:val="1"/>
        </w:numPr>
        <w:tabs>
          <w:tab w:val="clear" w:pos="1440"/>
          <w:tab w:val="num" w:pos="2127"/>
        </w:tabs>
        <w:ind w:left="2127" w:hanging="284"/>
      </w:pPr>
      <w:r w:rsidRPr="00B46F11">
        <w:t>Type de culot</w:t>
      </w:r>
      <w:r w:rsidR="00B46F11">
        <w:t xml:space="preserve"> : rond codé 1, </w:t>
      </w:r>
      <w:r w:rsidRPr="00B46F11">
        <w:t>plat</w:t>
      </w:r>
      <w:r w:rsidR="00B46F11">
        <w:t> : codé 2</w:t>
      </w:r>
      <w:r w:rsidR="00B46F11" w:rsidRPr="00B46F11">
        <w:t xml:space="preserve"> </w:t>
      </w:r>
    </w:p>
    <w:p w:rsidR="00203BC7" w:rsidRPr="009866BB" w:rsidRDefault="00203BC7" w:rsidP="0047572C">
      <w:pPr>
        <w:ind w:left="1276" w:hanging="283"/>
        <w:jc w:val="both"/>
        <w:rPr>
          <w:b/>
          <w:u w:val="single"/>
        </w:rPr>
      </w:pPr>
    </w:p>
    <w:p w:rsidR="00184B36" w:rsidRDefault="00184B36" w:rsidP="00184B36">
      <w:pPr>
        <w:jc w:val="both"/>
      </w:pPr>
    </w:p>
    <w:p w:rsidR="00BB3FD7" w:rsidRDefault="00BB3FD7" w:rsidP="00184B36">
      <w:pPr>
        <w:jc w:val="both"/>
      </w:pPr>
    </w:p>
    <w:p w:rsidR="00184B36" w:rsidRDefault="00184B36" w:rsidP="00184B36">
      <w:pPr>
        <w:ind w:left="709" w:firstLine="11"/>
        <w:jc w:val="both"/>
      </w:pPr>
    </w:p>
    <w:p w:rsidR="00184B36" w:rsidRDefault="00184B36" w:rsidP="00184B36"/>
    <w:p w:rsidR="00184B36" w:rsidRPr="009866BB" w:rsidRDefault="00184B36" w:rsidP="00184B36">
      <w:pPr>
        <w:rPr>
          <w:b/>
          <w:iCs/>
          <w:sz w:val="26"/>
          <w:szCs w:val="26"/>
        </w:rPr>
      </w:pPr>
    </w:p>
    <w:p w:rsidR="00184B36" w:rsidRDefault="00184B36" w:rsidP="00184B36">
      <w:pPr>
        <w:ind w:left="2160"/>
        <w:jc w:val="both"/>
      </w:pPr>
    </w:p>
    <w:p w:rsidR="003E781C" w:rsidRDefault="00184B36" w:rsidP="00385521">
      <w:pPr>
        <w:pStyle w:val="Paragraphedeliste"/>
        <w:numPr>
          <w:ilvl w:val="1"/>
          <w:numId w:val="27"/>
        </w:numPr>
        <w:jc w:val="both"/>
      </w:pPr>
      <w:r w:rsidRPr="0058164E">
        <w:rPr>
          <w:b/>
          <w:u w:val="single"/>
        </w:rPr>
        <w:t>Dendrochronologie :</w:t>
      </w:r>
      <w:r w:rsidR="003A0D2A">
        <w:t xml:space="preserve"> </w:t>
      </w:r>
      <w:r w:rsidR="00B237A9">
        <w:t>On retrouvera dans l’étude</w:t>
      </w:r>
      <w:r w:rsidR="00385521">
        <w:t xml:space="preserve"> de la </w:t>
      </w:r>
      <w:proofErr w:type="spellStart"/>
      <w:r w:rsidR="00385521">
        <w:t>dendroécologie</w:t>
      </w:r>
      <w:proofErr w:type="spellEnd"/>
      <w:r w:rsidR="00385521">
        <w:t xml:space="preserve"> </w:t>
      </w:r>
      <w:r w:rsidR="00385521" w:rsidRPr="00385521">
        <w:t>des grands feuillus de plaine</w:t>
      </w:r>
      <w:r w:rsidR="00B237A9">
        <w:t xml:space="preserve"> (</w:t>
      </w:r>
      <w:proofErr w:type="spellStart"/>
      <w:r w:rsidR="00B237A9">
        <w:t>FPDe</w:t>
      </w:r>
      <w:proofErr w:type="spellEnd"/>
      <w:r w:rsidR="00B237A9">
        <w:t xml:space="preserve">) les données concernant la croissance des arbres, l’étude des sols </w:t>
      </w:r>
      <w:r w:rsidR="00ED3DF6">
        <w:t xml:space="preserve">(à terme) </w:t>
      </w:r>
      <w:r w:rsidR="00B237A9">
        <w:t>et les relevés de végétation des mêmes placettes.</w:t>
      </w:r>
    </w:p>
    <w:p w:rsidR="00164AC2" w:rsidRDefault="00164AC2" w:rsidP="009149C1">
      <w:pPr>
        <w:ind w:left="709"/>
        <w:jc w:val="both"/>
      </w:pPr>
    </w:p>
    <w:p w:rsidR="00164AC2" w:rsidRPr="0058164E" w:rsidRDefault="00164AC2" w:rsidP="00164AC2">
      <w:pPr>
        <w:pStyle w:val="Paragraphedeliste"/>
        <w:numPr>
          <w:ilvl w:val="1"/>
          <w:numId w:val="27"/>
        </w:numPr>
        <w:jc w:val="both"/>
        <w:rPr>
          <w:b/>
          <w:u w:val="single"/>
        </w:rPr>
      </w:pPr>
      <w:r w:rsidRPr="0058164E">
        <w:rPr>
          <w:b/>
          <w:u w:val="single"/>
        </w:rPr>
        <w:t>Pédologie :</w:t>
      </w:r>
      <w:r w:rsidR="003A0D2A">
        <w:t xml:space="preserve"> pas de fichier pour l’instant</w:t>
      </w:r>
    </w:p>
    <w:p w:rsidR="0012249B" w:rsidRDefault="0012249B" w:rsidP="00385521">
      <w:pPr>
        <w:jc w:val="both"/>
      </w:pPr>
    </w:p>
    <w:p w:rsidR="00385521" w:rsidRPr="00385521" w:rsidRDefault="003A0D2A" w:rsidP="00385521">
      <w:pPr>
        <w:pStyle w:val="Paragraphedeliste"/>
        <w:numPr>
          <w:ilvl w:val="1"/>
          <w:numId w:val="3"/>
        </w:numPr>
        <w:rPr>
          <w:rFonts w:ascii="New York" w:hAnsi="New York" w:cs="New York"/>
          <w:szCs w:val="20"/>
        </w:rPr>
      </w:pPr>
      <w:r w:rsidRPr="00385521">
        <w:rPr>
          <w:b/>
          <w:u w:val="single"/>
        </w:rPr>
        <w:t>Floristique :</w:t>
      </w:r>
      <w:r>
        <w:t xml:space="preserve"> </w:t>
      </w:r>
      <w:r w:rsidR="00385521" w:rsidRPr="00385521">
        <w:rPr>
          <w:rFonts w:ascii="New York" w:hAnsi="New York" w:cs="New York"/>
          <w:szCs w:val="20"/>
        </w:rPr>
        <w:t xml:space="preserve">voir l’étude de la </w:t>
      </w:r>
      <w:proofErr w:type="spellStart"/>
      <w:r w:rsidR="00385521" w:rsidRPr="00385521">
        <w:rPr>
          <w:rFonts w:ascii="New York" w:hAnsi="New York" w:cs="New York"/>
          <w:szCs w:val="20"/>
        </w:rPr>
        <w:t>dendroécologie</w:t>
      </w:r>
      <w:proofErr w:type="spellEnd"/>
      <w:r w:rsidR="00385521" w:rsidRPr="00385521">
        <w:rPr>
          <w:rFonts w:ascii="New York" w:hAnsi="New York" w:cs="New York"/>
          <w:szCs w:val="20"/>
        </w:rPr>
        <w:t xml:space="preserve"> des grands feuillus de plaine</w:t>
      </w:r>
    </w:p>
    <w:p w:rsidR="00385521" w:rsidRDefault="00385521" w:rsidP="00385521">
      <w:pPr>
        <w:ind w:left="1440"/>
        <w:jc w:val="both"/>
      </w:pPr>
    </w:p>
    <w:p w:rsidR="00E9553E" w:rsidRPr="00385521" w:rsidRDefault="00E9553E" w:rsidP="00385521">
      <w:pPr>
        <w:numPr>
          <w:ilvl w:val="1"/>
          <w:numId w:val="3"/>
        </w:numPr>
        <w:jc w:val="both"/>
        <w:rPr>
          <w:b/>
          <w:u w:val="single"/>
        </w:rPr>
      </w:pPr>
      <w:r w:rsidRPr="00385521">
        <w:rPr>
          <w:b/>
          <w:u w:val="single"/>
        </w:rPr>
        <w:t xml:space="preserve">Publications : </w:t>
      </w:r>
    </w:p>
    <w:p w:rsidR="00E9553E" w:rsidRDefault="00E9553E" w:rsidP="00E9553E">
      <w:pPr>
        <w:pStyle w:val="Paragraphedeliste"/>
        <w:ind w:left="720"/>
      </w:pPr>
    </w:p>
    <w:p w:rsidR="009E2011" w:rsidRPr="00C96403" w:rsidRDefault="00327570" w:rsidP="00327570">
      <w:pPr>
        <w:pStyle w:val="Paragraphedeliste"/>
        <w:numPr>
          <w:ilvl w:val="0"/>
          <w:numId w:val="14"/>
        </w:numPr>
        <w:ind w:left="1418" w:hanging="425"/>
      </w:pPr>
      <w:r>
        <w:lastRenderedPageBreak/>
        <w:t xml:space="preserve">BREDA N., LEFEVRE Y., DUPOUEY J.L., 2002 Sensibilité aux chablis des chênaies et des chênaies-hêtraies du plateau lorrain. Rapport de convention de recherche </w:t>
      </w:r>
      <w:proofErr w:type="spellStart"/>
      <w:r>
        <w:t>Ecofor</w:t>
      </w:r>
      <w:proofErr w:type="spellEnd"/>
      <w:r>
        <w:t xml:space="preserve"> 2000-42, Inra. </w:t>
      </w:r>
      <w:proofErr w:type="spellStart"/>
      <w:r>
        <w:t>Burtnor</w:t>
      </w:r>
      <w:proofErr w:type="spellEnd"/>
      <w:r>
        <w:t xml:space="preserve"> J.R., </w:t>
      </w:r>
      <w:proofErr w:type="spellStart"/>
      <w:r>
        <w:t>Dooluittle</w:t>
      </w:r>
      <w:proofErr w:type="spellEnd"/>
      <w:r>
        <w:t xml:space="preserve"> </w:t>
      </w:r>
    </w:p>
    <w:p w:rsidR="00385521" w:rsidRPr="00385521" w:rsidRDefault="00385521" w:rsidP="00ED3DF6">
      <w:pPr>
        <w:pStyle w:val="Paragraphedeliste"/>
        <w:ind w:left="1418"/>
      </w:pPr>
    </w:p>
    <w:sectPr w:rsidR="00385521" w:rsidRPr="00385521">
      <w:pgSz w:w="11880" w:h="16820"/>
      <w:pgMar w:top="1417" w:right="851" w:bottom="1417" w:left="1701" w:header="1077" w:footer="1077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C7012"/>
    <w:multiLevelType w:val="hybridMultilevel"/>
    <w:tmpl w:val="53EE3860"/>
    <w:lvl w:ilvl="0" w:tplc="72AE0696">
      <w:start w:val="1"/>
      <w:numFmt w:val="bullet"/>
      <w:lvlText w:val=""/>
      <w:lvlJc w:val="left"/>
      <w:pPr>
        <w:ind w:left="142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037F52A4"/>
    <w:multiLevelType w:val="hybridMultilevel"/>
    <w:tmpl w:val="AA9218BE"/>
    <w:lvl w:ilvl="0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03A45A32"/>
    <w:multiLevelType w:val="hybridMultilevel"/>
    <w:tmpl w:val="B1D4A6B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3A5A89"/>
    <w:multiLevelType w:val="hybridMultilevel"/>
    <w:tmpl w:val="DF86B5A6"/>
    <w:lvl w:ilvl="0" w:tplc="72AE0696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386FA9"/>
    <w:multiLevelType w:val="hybridMultilevel"/>
    <w:tmpl w:val="F9CCC8F0"/>
    <w:lvl w:ilvl="0" w:tplc="72AE0696">
      <w:start w:val="1"/>
      <w:numFmt w:val="bullet"/>
      <w:lvlText w:val=""/>
      <w:lvlJc w:val="left"/>
      <w:pPr>
        <w:ind w:left="142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>
    <w:nsid w:val="07CA7DA7"/>
    <w:multiLevelType w:val="hybridMultilevel"/>
    <w:tmpl w:val="C994EF1E"/>
    <w:lvl w:ilvl="0" w:tplc="040C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>
    <w:nsid w:val="0B8531B7"/>
    <w:multiLevelType w:val="hybridMultilevel"/>
    <w:tmpl w:val="A1DC007E"/>
    <w:lvl w:ilvl="0" w:tplc="544C746A">
      <w:start w:val="1"/>
      <w:numFmt w:val="lowerRoman"/>
      <w:lvlText w:val="%1-"/>
      <w:lvlJc w:val="left"/>
      <w:pPr>
        <w:ind w:left="144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32F29AB"/>
    <w:multiLevelType w:val="hybridMultilevel"/>
    <w:tmpl w:val="60CA7AF2"/>
    <w:lvl w:ilvl="0" w:tplc="040C001B">
      <w:start w:val="1"/>
      <w:numFmt w:val="low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52586A"/>
    <w:multiLevelType w:val="hybridMultilevel"/>
    <w:tmpl w:val="3806AF72"/>
    <w:lvl w:ilvl="0" w:tplc="72AE0696">
      <w:start w:val="1"/>
      <w:numFmt w:val="bullet"/>
      <w:lvlText w:val="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9B30C16"/>
    <w:multiLevelType w:val="hybridMultilevel"/>
    <w:tmpl w:val="A31E6154"/>
    <w:lvl w:ilvl="0" w:tplc="040C000D">
      <w:start w:val="1"/>
      <w:numFmt w:val="bullet"/>
      <w:lvlText w:val=""/>
      <w:lvlJc w:val="left"/>
      <w:pPr>
        <w:ind w:left="285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10">
    <w:nsid w:val="1B316CA4"/>
    <w:multiLevelType w:val="hybridMultilevel"/>
    <w:tmpl w:val="C046F9CC"/>
    <w:lvl w:ilvl="0" w:tplc="040C000D">
      <w:start w:val="1"/>
      <w:numFmt w:val="bullet"/>
      <w:lvlText w:val=""/>
      <w:lvlJc w:val="left"/>
      <w:pPr>
        <w:ind w:left="28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1">
    <w:nsid w:val="1C6213EB"/>
    <w:multiLevelType w:val="hybridMultilevel"/>
    <w:tmpl w:val="60ECC3CA"/>
    <w:lvl w:ilvl="0" w:tplc="72AE0696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Symbol" w:hint="default"/>
      </w:rPr>
    </w:lvl>
    <w:lvl w:ilvl="3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4770F1"/>
    <w:multiLevelType w:val="hybridMultilevel"/>
    <w:tmpl w:val="C2F61238"/>
    <w:lvl w:ilvl="0" w:tplc="040C000D">
      <w:start w:val="1"/>
      <w:numFmt w:val="bullet"/>
      <w:lvlText w:val=""/>
      <w:lvlJc w:val="left"/>
      <w:pPr>
        <w:tabs>
          <w:tab w:val="num" w:pos="1637"/>
        </w:tabs>
        <w:ind w:left="1637" w:hanging="360"/>
      </w:pPr>
      <w:rPr>
        <w:rFonts w:ascii="Wingdings" w:hAnsi="Wingdings" w:hint="default"/>
      </w:rPr>
    </w:lvl>
    <w:lvl w:ilvl="1" w:tplc="71728836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F06F5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746D13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BBC535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CEB38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532B0E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274DE6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DDA7DD4"/>
    <w:multiLevelType w:val="hybridMultilevel"/>
    <w:tmpl w:val="0D5CF978"/>
    <w:lvl w:ilvl="0" w:tplc="040C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4">
    <w:nsid w:val="1E97303B"/>
    <w:multiLevelType w:val="hybridMultilevel"/>
    <w:tmpl w:val="881AB6EC"/>
    <w:lvl w:ilvl="0" w:tplc="040C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>
    <w:nsid w:val="243D6D8E"/>
    <w:multiLevelType w:val="hybridMultilevel"/>
    <w:tmpl w:val="46EE70EA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1728836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C1CAFBE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F06F5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746D13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BBC535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CEB38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532B0E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274DE6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9945C2F"/>
    <w:multiLevelType w:val="multilevel"/>
    <w:tmpl w:val="5D9CA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7E86F27"/>
    <w:multiLevelType w:val="hybridMultilevel"/>
    <w:tmpl w:val="353458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163CA9"/>
    <w:multiLevelType w:val="hybridMultilevel"/>
    <w:tmpl w:val="CA3CF654"/>
    <w:lvl w:ilvl="0" w:tplc="72AE0696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7A0D94"/>
    <w:multiLevelType w:val="hybridMultilevel"/>
    <w:tmpl w:val="73A4C814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36F2F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A46AD1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74CCE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00B43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7E46D9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6EE7AB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05D6362"/>
    <w:multiLevelType w:val="hybridMultilevel"/>
    <w:tmpl w:val="A38496D6"/>
    <w:lvl w:ilvl="0" w:tplc="72AE0696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040C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E803E6"/>
    <w:multiLevelType w:val="hybridMultilevel"/>
    <w:tmpl w:val="49A0D6CA"/>
    <w:lvl w:ilvl="0" w:tplc="72AE0696">
      <w:start w:val="1"/>
      <w:numFmt w:val="bullet"/>
      <w:lvlText w:val=""/>
      <w:lvlJc w:val="left"/>
      <w:pPr>
        <w:ind w:left="2136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2">
    <w:nsid w:val="47F2654D"/>
    <w:multiLevelType w:val="hybridMultilevel"/>
    <w:tmpl w:val="959CE9CA"/>
    <w:lvl w:ilvl="0" w:tplc="71728836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71728836">
      <w:start w:val="1"/>
      <w:numFmt w:val="bullet"/>
      <w:lvlText w:val="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2D08C5"/>
    <w:multiLevelType w:val="hybridMultilevel"/>
    <w:tmpl w:val="C7885126"/>
    <w:lvl w:ilvl="0" w:tplc="040C000D">
      <w:start w:val="1"/>
      <w:numFmt w:val="bullet"/>
      <w:lvlText w:val=""/>
      <w:lvlJc w:val="left"/>
      <w:pPr>
        <w:ind w:left="28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4">
    <w:nsid w:val="6735382E"/>
    <w:multiLevelType w:val="hybridMultilevel"/>
    <w:tmpl w:val="002AAEE4"/>
    <w:lvl w:ilvl="0" w:tplc="040C0005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23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72" w:hanging="360"/>
      </w:pPr>
      <w:rPr>
        <w:rFonts w:ascii="Wingdings" w:hAnsi="Wingdings" w:hint="default"/>
      </w:rPr>
    </w:lvl>
  </w:abstractNum>
  <w:abstractNum w:abstractNumId="25">
    <w:nsid w:val="6E2A1C8E"/>
    <w:multiLevelType w:val="hybridMultilevel"/>
    <w:tmpl w:val="92404ED2"/>
    <w:lvl w:ilvl="0" w:tplc="72AE0696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A2293B"/>
    <w:multiLevelType w:val="hybridMultilevel"/>
    <w:tmpl w:val="0A0271C6"/>
    <w:lvl w:ilvl="0" w:tplc="72AE0696">
      <w:start w:val="1"/>
      <w:numFmt w:val="bullet"/>
      <w:lvlText w:val=""/>
      <w:lvlJc w:val="left"/>
      <w:pPr>
        <w:ind w:left="142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7">
    <w:nsid w:val="72A910C1"/>
    <w:multiLevelType w:val="hybridMultilevel"/>
    <w:tmpl w:val="4E72BA26"/>
    <w:lvl w:ilvl="0" w:tplc="B2EA5C0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BE13641"/>
    <w:multiLevelType w:val="hybridMultilevel"/>
    <w:tmpl w:val="27E03B96"/>
    <w:lvl w:ilvl="0" w:tplc="B2EA5C0A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5"/>
  </w:num>
  <w:num w:numId="3">
    <w:abstractNumId w:val="12"/>
  </w:num>
  <w:num w:numId="4">
    <w:abstractNumId w:val="27"/>
  </w:num>
  <w:num w:numId="5">
    <w:abstractNumId w:val="28"/>
  </w:num>
  <w:num w:numId="6">
    <w:abstractNumId w:val="20"/>
  </w:num>
  <w:num w:numId="7">
    <w:abstractNumId w:val="3"/>
  </w:num>
  <w:num w:numId="8">
    <w:abstractNumId w:val="2"/>
  </w:num>
  <w:num w:numId="9">
    <w:abstractNumId w:val="4"/>
  </w:num>
  <w:num w:numId="10">
    <w:abstractNumId w:val="21"/>
  </w:num>
  <w:num w:numId="11">
    <w:abstractNumId w:val="23"/>
  </w:num>
  <w:num w:numId="12">
    <w:abstractNumId w:val="5"/>
  </w:num>
  <w:num w:numId="13">
    <w:abstractNumId w:val="10"/>
  </w:num>
  <w:num w:numId="14">
    <w:abstractNumId w:val="14"/>
  </w:num>
  <w:num w:numId="15">
    <w:abstractNumId w:val="6"/>
  </w:num>
  <w:num w:numId="16">
    <w:abstractNumId w:val="7"/>
  </w:num>
  <w:num w:numId="17">
    <w:abstractNumId w:val="9"/>
  </w:num>
  <w:num w:numId="18">
    <w:abstractNumId w:val="25"/>
  </w:num>
  <w:num w:numId="19">
    <w:abstractNumId w:val="8"/>
  </w:num>
  <w:num w:numId="20">
    <w:abstractNumId w:val="26"/>
  </w:num>
  <w:num w:numId="21">
    <w:abstractNumId w:val="0"/>
  </w:num>
  <w:num w:numId="22">
    <w:abstractNumId w:val="13"/>
  </w:num>
  <w:num w:numId="23">
    <w:abstractNumId w:val="18"/>
  </w:num>
  <w:num w:numId="24">
    <w:abstractNumId w:val="11"/>
  </w:num>
  <w:num w:numId="25">
    <w:abstractNumId w:val="1"/>
  </w:num>
  <w:num w:numId="26">
    <w:abstractNumId w:val="24"/>
  </w:num>
  <w:num w:numId="27">
    <w:abstractNumId w:val="22"/>
  </w:num>
  <w:num w:numId="28">
    <w:abstractNumId w:val="17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1E7"/>
    <w:rsid w:val="000028C3"/>
    <w:rsid w:val="00005680"/>
    <w:rsid w:val="00016DBE"/>
    <w:rsid w:val="00032B09"/>
    <w:rsid w:val="00033FA1"/>
    <w:rsid w:val="0004216E"/>
    <w:rsid w:val="00053FD7"/>
    <w:rsid w:val="00055ECA"/>
    <w:rsid w:val="000664DF"/>
    <w:rsid w:val="00075DF6"/>
    <w:rsid w:val="000773D4"/>
    <w:rsid w:val="000842B7"/>
    <w:rsid w:val="000A2CCF"/>
    <w:rsid w:val="000F0BCC"/>
    <w:rsid w:val="000F77E7"/>
    <w:rsid w:val="0012249B"/>
    <w:rsid w:val="001308B6"/>
    <w:rsid w:val="00161C83"/>
    <w:rsid w:val="00164AC2"/>
    <w:rsid w:val="00180534"/>
    <w:rsid w:val="00183E74"/>
    <w:rsid w:val="00184B36"/>
    <w:rsid w:val="001861D2"/>
    <w:rsid w:val="001A6B1C"/>
    <w:rsid w:val="001A7C8D"/>
    <w:rsid w:val="001D5E7C"/>
    <w:rsid w:val="001E06F6"/>
    <w:rsid w:val="001E1606"/>
    <w:rsid w:val="00203BC7"/>
    <w:rsid w:val="00210225"/>
    <w:rsid w:val="0021796B"/>
    <w:rsid w:val="00223FBC"/>
    <w:rsid w:val="002354ED"/>
    <w:rsid w:val="00243D11"/>
    <w:rsid w:val="00250906"/>
    <w:rsid w:val="0026551E"/>
    <w:rsid w:val="00271DDF"/>
    <w:rsid w:val="00295210"/>
    <w:rsid w:val="002C7D4D"/>
    <w:rsid w:val="002D69FE"/>
    <w:rsid w:val="002E0703"/>
    <w:rsid w:val="00325DFB"/>
    <w:rsid w:val="00327570"/>
    <w:rsid w:val="00334F2D"/>
    <w:rsid w:val="00343E62"/>
    <w:rsid w:val="003445A4"/>
    <w:rsid w:val="00383005"/>
    <w:rsid w:val="003830A2"/>
    <w:rsid w:val="00385521"/>
    <w:rsid w:val="00394A17"/>
    <w:rsid w:val="00394B53"/>
    <w:rsid w:val="003A0D2A"/>
    <w:rsid w:val="003B61B2"/>
    <w:rsid w:val="003B6A5A"/>
    <w:rsid w:val="003D3C19"/>
    <w:rsid w:val="003E6600"/>
    <w:rsid w:val="003E781C"/>
    <w:rsid w:val="003E7D20"/>
    <w:rsid w:val="004157D3"/>
    <w:rsid w:val="00431B25"/>
    <w:rsid w:val="00434178"/>
    <w:rsid w:val="00435DC2"/>
    <w:rsid w:val="00473280"/>
    <w:rsid w:val="0047572C"/>
    <w:rsid w:val="00476748"/>
    <w:rsid w:val="00493318"/>
    <w:rsid w:val="0049405D"/>
    <w:rsid w:val="004A404E"/>
    <w:rsid w:val="004A61C6"/>
    <w:rsid w:val="004B1B32"/>
    <w:rsid w:val="004B7C1B"/>
    <w:rsid w:val="004C0936"/>
    <w:rsid w:val="004D67D5"/>
    <w:rsid w:val="004E2991"/>
    <w:rsid w:val="0051114B"/>
    <w:rsid w:val="0053476A"/>
    <w:rsid w:val="00540D2F"/>
    <w:rsid w:val="005431D0"/>
    <w:rsid w:val="0058164E"/>
    <w:rsid w:val="005966E0"/>
    <w:rsid w:val="005B1088"/>
    <w:rsid w:val="005B3645"/>
    <w:rsid w:val="005B77CC"/>
    <w:rsid w:val="005D4040"/>
    <w:rsid w:val="005D6271"/>
    <w:rsid w:val="005D742E"/>
    <w:rsid w:val="005D7A5B"/>
    <w:rsid w:val="00611A12"/>
    <w:rsid w:val="0061486D"/>
    <w:rsid w:val="0061693C"/>
    <w:rsid w:val="00621CC6"/>
    <w:rsid w:val="00636C0B"/>
    <w:rsid w:val="00660924"/>
    <w:rsid w:val="00660E4E"/>
    <w:rsid w:val="00665A9E"/>
    <w:rsid w:val="006960E3"/>
    <w:rsid w:val="006A1361"/>
    <w:rsid w:val="006A43FD"/>
    <w:rsid w:val="006B07F8"/>
    <w:rsid w:val="006D6EF4"/>
    <w:rsid w:val="00723C60"/>
    <w:rsid w:val="007349AC"/>
    <w:rsid w:val="00750827"/>
    <w:rsid w:val="00767872"/>
    <w:rsid w:val="00770587"/>
    <w:rsid w:val="007743DD"/>
    <w:rsid w:val="00777E90"/>
    <w:rsid w:val="0078408C"/>
    <w:rsid w:val="007A6273"/>
    <w:rsid w:val="007D4745"/>
    <w:rsid w:val="007F44BE"/>
    <w:rsid w:val="00800FEA"/>
    <w:rsid w:val="00806531"/>
    <w:rsid w:val="008808F0"/>
    <w:rsid w:val="00883F88"/>
    <w:rsid w:val="0089796F"/>
    <w:rsid w:val="008C4C32"/>
    <w:rsid w:val="008F51DA"/>
    <w:rsid w:val="00906C33"/>
    <w:rsid w:val="00907C1A"/>
    <w:rsid w:val="009149C1"/>
    <w:rsid w:val="00945372"/>
    <w:rsid w:val="009678B1"/>
    <w:rsid w:val="00976E3A"/>
    <w:rsid w:val="0099787E"/>
    <w:rsid w:val="00997B92"/>
    <w:rsid w:val="009A6085"/>
    <w:rsid w:val="009B12B0"/>
    <w:rsid w:val="009D11BE"/>
    <w:rsid w:val="009E2011"/>
    <w:rsid w:val="009E3823"/>
    <w:rsid w:val="009F2795"/>
    <w:rsid w:val="00A35F42"/>
    <w:rsid w:val="00A46E97"/>
    <w:rsid w:val="00A54E75"/>
    <w:rsid w:val="00A56692"/>
    <w:rsid w:val="00A567CA"/>
    <w:rsid w:val="00A61BFC"/>
    <w:rsid w:val="00A6204A"/>
    <w:rsid w:val="00A717BB"/>
    <w:rsid w:val="00A901E4"/>
    <w:rsid w:val="00A91C0E"/>
    <w:rsid w:val="00A92139"/>
    <w:rsid w:val="00AD69DC"/>
    <w:rsid w:val="00AE19CF"/>
    <w:rsid w:val="00AE64BC"/>
    <w:rsid w:val="00AF3083"/>
    <w:rsid w:val="00AF43C3"/>
    <w:rsid w:val="00B03C2B"/>
    <w:rsid w:val="00B237A9"/>
    <w:rsid w:val="00B46F11"/>
    <w:rsid w:val="00B47813"/>
    <w:rsid w:val="00B55BA8"/>
    <w:rsid w:val="00B606ED"/>
    <w:rsid w:val="00B65859"/>
    <w:rsid w:val="00B735E7"/>
    <w:rsid w:val="00B96531"/>
    <w:rsid w:val="00B96FB2"/>
    <w:rsid w:val="00BB3FD7"/>
    <w:rsid w:val="00BD0F1F"/>
    <w:rsid w:val="00BD1CA8"/>
    <w:rsid w:val="00BD484E"/>
    <w:rsid w:val="00BE0D98"/>
    <w:rsid w:val="00C011EF"/>
    <w:rsid w:val="00C027E4"/>
    <w:rsid w:val="00C30002"/>
    <w:rsid w:val="00C301F2"/>
    <w:rsid w:val="00C37A7E"/>
    <w:rsid w:val="00C63C55"/>
    <w:rsid w:val="00C77014"/>
    <w:rsid w:val="00C8096B"/>
    <w:rsid w:val="00C96403"/>
    <w:rsid w:val="00CC4C97"/>
    <w:rsid w:val="00CE2D66"/>
    <w:rsid w:val="00CE3E8A"/>
    <w:rsid w:val="00CE3ED3"/>
    <w:rsid w:val="00D07390"/>
    <w:rsid w:val="00D267F6"/>
    <w:rsid w:val="00D37B5E"/>
    <w:rsid w:val="00D473ED"/>
    <w:rsid w:val="00D55647"/>
    <w:rsid w:val="00D65FB6"/>
    <w:rsid w:val="00D6640A"/>
    <w:rsid w:val="00D66602"/>
    <w:rsid w:val="00D76E57"/>
    <w:rsid w:val="00D87BDB"/>
    <w:rsid w:val="00D96B2C"/>
    <w:rsid w:val="00DA78DA"/>
    <w:rsid w:val="00DB547D"/>
    <w:rsid w:val="00DC7687"/>
    <w:rsid w:val="00DF3374"/>
    <w:rsid w:val="00E11C37"/>
    <w:rsid w:val="00E25800"/>
    <w:rsid w:val="00E37D6B"/>
    <w:rsid w:val="00E443A0"/>
    <w:rsid w:val="00E53091"/>
    <w:rsid w:val="00E564DB"/>
    <w:rsid w:val="00E76B63"/>
    <w:rsid w:val="00E9553E"/>
    <w:rsid w:val="00EA4D14"/>
    <w:rsid w:val="00ED3DF6"/>
    <w:rsid w:val="00ED548E"/>
    <w:rsid w:val="00EE7012"/>
    <w:rsid w:val="00EF22C9"/>
    <w:rsid w:val="00EF7567"/>
    <w:rsid w:val="00F04675"/>
    <w:rsid w:val="00F10C61"/>
    <w:rsid w:val="00F251E7"/>
    <w:rsid w:val="00F3745A"/>
    <w:rsid w:val="00F4733B"/>
    <w:rsid w:val="00F5739A"/>
    <w:rsid w:val="00F6032F"/>
    <w:rsid w:val="00F650A5"/>
    <w:rsid w:val="00FB0CBF"/>
    <w:rsid w:val="00FC78D6"/>
    <w:rsid w:val="00FD7F96"/>
    <w:rsid w:val="00FE4B56"/>
    <w:rsid w:val="00FE77CA"/>
    <w:rsid w:val="00FF0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ew York" w:eastAsia="Times New Roman" w:hAnsi="New York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2249B"/>
    <w:rPr>
      <w:rFonts w:cs="New York"/>
      <w:sz w:val="24"/>
    </w:rPr>
  </w:style>
  <w:style w:type="paragraph" w:styleId="Titre1">
    <w:name w:val="heading 1"/>
    <w:basedOn w:val="Normal"/>
    <w:next w:val="Normal"/>
    <w:link w:val="Titre1Car"/>
    <w:qFormat/>
    <w:rsid w:val="003E781C"/>
    <w:pPr>
      <w:keepNext/>
      <w:outlineLvl w:val="0"/>
    </w:pPr>
    <w:rPr>
      <w:rFonts w:ascii="Times New Roman" w:hAnsi="Times New Roman" w:cs="Times New Roman"/>
      <w:b/>
      <w:bCs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84B36"/>
    <w:pPr>
      <w:ind w:left="708"/>
    </w:pPr>
    <w:rPr>
      <w:rFonts w:ascii="Times New Roman" w:hAnsi="Times New Roman" w:cs="Times New Roman"/>
      <w:szCs w:val="24"/>
    </w:rPr>
  </w:style>
  <w:style w:type="table" w:styleId="Grilledutableau">
    <w:name w:val="Table Grid"/>
    <w:basedOn w:val="TableauNormal"/>
    <w:rsid w:val="00B606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uiPriority w:val="99"/>
    <w:unhideWhenUsed/>
    <w:rsid w:val="00B606ED"/>
    <w:rPr>
      <w:color w:val="0000FF"/>
      <w:u w:val="single"/>
    </w:rPr>
  </w:style>
  <w:style w:type="character" w:styleId="Lienhypertextesuivivisit">
    <w:name w:val="FollowedHyperlink"/>
    <w:uiPriority w:val="99"/>
    <w:unhideWhenUsed/>
    <w:rsid w:val="00B606ED"/>
    <w:rPr>
      <w:color w:val="800080"/>
      <w:u w:val="single"/>
    </w:rPr>
  </w:style>
  <w:style w:type="paragraph" w:customStyle="1" w:styleId="xl65">
    <w:name w:val="xl65"/>
    <w:basedOn w:val="Normal"/>
    <w:rsid w:val="00B606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Cs w:val="24"/>
    </w:rPr>
  </w:style>
  <w:style w:type="paragraph" w:customStyle="1" w:styleId="xl66">
    <w:name w:val="xl66"/>
    <w:basedOn w:val="Normal"/>
    <w:rsid w:val="00B606ED"/>
    <w:pPr>
      <w:spacing w:before="100" w:beforeAutospacing="1" w:after="100" w:afterAutospacing="1"/>
      <w:jc w:val="center"/>
    </w:pPr>
    <w:rPr>
      <w:rFonts w:ascii="Times New Roman" w:hAnsi="Times New Roman" w:cs="Times New Roman"/>
      <w:szCs w:val="24"/>
    </w:rPr>
  </w:style>
  <w:style w:type="paragraph" w:customStyle="1" w:styleId="xl67">
    <w:name w:val="xl67"/>
    <w:basedOn w:val="Normal"/>
    <w:rsid w:val="00B606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Cs w:val="24"/>
    </w:rPr>
  </w:style>
  <w:style w:type="character" w:customStyle="1" w:styleId="Titre1Car">
    <w:name w:val="Titre 1 Car"/>
    <w:basedOn w:val="Policepardfaut"/>
    <w:link w:val="Titre1"/>
    <w:rsid w:val="003E781C"/>
    <w:rPr>
      <w:rFonts w:ascii="Times New Roman" w:hAnsi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New York" w:eastAsia="Times New Roman" w:hAnsi="New York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2249B"/>
    <w:rPr>
      <w:rFonts w:cs="New York"/>
      <w:sz w:val="24"/>
    </w:rPr>
  </w:style>
  <w:style w:type="paragraph" w:styleId="Titre1">
    <w:name w:val="heading 1"/>
    <w:basedOn w:val="Normal"/>
    <w:next w:val="Normal"/>
    <w:link w:val="Titre1Car"/>
    <w:qFormat/>
    <w:rsid w:val="003E781C"/>
    <w:pPr>
      <w:keepNext/>
      <w:outlineLvl w:val="0"/>
    </w:pPr>
    <w:rPr>
      <w:rFonts w:ascii="Times New Roman" w:hAnsi="Times New Roman" w:cs="Times New Roman"/>
      <w:b/>
      <w:bCs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84B36"/>
    <w:pPr>
      <w:ind w:left="708"/>
    </w:pPr>
    <w:rPr>
      <w:rFonts w:ascii="Times New Roman" w:hAnsi="Times New Roman" w:cs="Times New Roman"/>
      <w:szCs w:val="24"/>
    </w:rPr>
  </w:style>
  <w:style w:type="table" w:styleId="Grilledutableau">
    <w:name w:val="Table Grid"/>
    <w:basedOn w:val="TableauNormal"/>
    <w:rsid w:val="00B606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uiPriority w:val="99"/>
    <w:unhideWhenUsed/>
    <w:rsid w:val="00B606ED"/>
    <w:rPr>
      <w:color w:val="0000FF"/>
      <w:u w:val="single"/>
    </w:rPr>
  </w:style>
  <w:style w:type="character" w:styleId="Lienhypertextesuivivisit">
    <w:name w:val="FollowedHyperlink"/>
    <w:uiPriority w:val="99"/>
    <w:unhideWhenUsed/>
    <w:rsid w:val="00B606ED"/>
    <w:rPr>
      <w:color w:val="800080"/>
      <w:u w:val="single"/>
    </w:rPr>
  </w:style>
  <w:style w:type="paragraph" w:customStyle="1" w:styleId="xl65">
    <w:name w:val="xl65"/>
    <w:basedOn w:val="Normal"/>
    <w:rsid w:val="00B606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Cs w:val="24"/>
    </w:rPr>
  </w:style>
  <w:style w:type="paragraph" w:customStyle="1" w:styleId="xl66">
    <w:name w:val="xl66"/>
    <w:basedOn w:val="Normal"/>
    <w:rsid w:val="00B606ED"/>
    <w:pPr>
      <w:spacing w:before="100" w:beforeAutospacing="1" w:after="100" w:afterAutospacing="1"/>
      <w:jc w:val="center"/>
    </w:pPr>
    <w:rPr>
      <w:rFonts w:ascii="Times New Roman" w:hAnsi="Times New Roman" w:cs="Times New Roman"/>
      <w:szCs w:val="24"/>
    </w:rPr>
  </w:style>
  <w:style w:type="paragraph" w:customStyle="1" w:styleId="xl67">
    <w:name w:val="xl67"/>
    <w:basedOn w:val="Normal"/>
    <w:rsid w:val="00B606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Cs w:val="24"/>
    </w:rPr>
  </w:style>
  <w:style w:type="character" w:customStyle="1" w:styleId="Titre1Car">
    <w:name w:val="Titre 1 Car"/>
    <w:basedOn w:val="Policepardfaut"/>
    <w:link w:val="Titre1"/>
    <w:rsid w:val="003E781C"/>
    <w:rPr>
      <w:rFonts w:ascii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7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14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23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954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524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002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429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683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002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4816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3177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7095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37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3</Pages>
  <Words>602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ETUDE DENDROECOLOGIQUE DES GRANDS FEUILLUS</vt:lpstr>
    </vt:vector>
  </TitlesOfParts>
  <Company>INRA</Company>
  <LinksUpToDate>false</LinksUpToDate>
  <CharactersWithSpaces>3909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ETUDE DENDROECOLOGIQUE DES GRANDS FEUILLUS</dc:title>
  <dc:creator>Francois Geremia</dc:creator>
  <cp:lastModifiedBy>Francois</cp:lastModifiedBy>
  <cp:revision>19</cp:revision>
  <dcterms:created xsi:type="dcterms:W3CDTF">2013-02-11T12:46:00Z</dcterms:created>
  <dcterms:modified xsi:type="dcterms:W3CDTF">2013-05-16T14:53:00Z</dcterms:modified>
</cp:coreProperties>
</file>