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87" w:rsidRDefault="00445887"/>
    <w:p w:rsidR="00445887" w:rsidRDefault="00445887"/>
    <w:p w:rsidR="005236A8" w:rsidRPr="008D2106" w:rsidRDefault="005236A8" w:rsidP="005236A8">
      <w:pPr>
        <w:ind w:firstLine="284"/>
        <w:jc w:val="both"/>
        <w:rPr>
          <w:b/>
          <w:sz w:val="28"/>
          <w:szCs w:val="28"/>
          <w:u w:val="single"/>
        </w:rPr>
      </w:pPr>
      <w:r w:rsidRPr="008D2106">
        <w:rPr>
          <w:b/>
          <w:sz w:val="28"/>
          <w:szCs w:val="28"/>
          <w:u w:val="single"/>
        </w:rPr>
        <w:t>Nom pour BDD:</w:t>
      </w:r>
    </w:p>
    <w:p w:rsidR="005236A8" w:rsidRDefault="005236A8" w:rsidP="005236A8">
      <w:pPr>
        <w:jc w:val="both"/>
        <w:rPr>
          <w:b/>
          <w:u w:val="single"/>
        </w:rPr>
      </w:pPr>
    </w:p>
    <w:p w:rsidR="005236A8" w:rsidRPr="006D7BA5" w:rsidRDefault="005236A8" w:rsidP="005236A8">
      <w:pPr>
        <w:numPr>
          <w:ilvl w:val="0"/>
          <w:numId w:val="7"/>
        </w:numPr>
        <w:spacing w:after="0" w:line="240" w:lineRule="auto"/>
        <w:ind w:left="1276" w:hanging="283"/>
        <w:jc w:val="both"/>
        <w:rPr>
          <w:sz w:val="24"/>
          <w:szCs w:val="24"/>
        </w:rPr>
      </w:pPr>
      <w:r w:rsidRPr="006D7BA5">
        <w:rPr>
          <w:sz w:val="24"/>
          <w:szCs w:val="24"/>
        </w:rPr>
        <w:t xml:space="preserve">Stations des </w:t>
      </w:r>
      <w:r w:rsidR="00A16F9C">
        <w:rPr>
          <w:sz w:val="24"/>
          <w:szCs w:val="24"/>
        </w:rPr>
        <w:t xml:space="preserve">Crêtes </w:t>
      </w:r>
      <w:r w:rsidR="009561C9">
        <w:rPr>
          <w:sz w:val="24"/>
          <w:szCs w:val="24"/>
        </w:rPr>
        <w:t>Pré-ardennaises</w:t>
      </w:r>
    </w:p>
    <w:p w:rsidR="005236A8" w:rsidRPr="006D7BA5" w:rsidRDefault="005236A8" w:rsidP="005236A8">
      <w:pPr>
        <w:ind w:left="1425"/>
        <w:jc w:val="both"/>
        <w:rPr>
          <w:sz w:val="24"/>
          <w:szCs w:val="24"/>
        </w:rPr>
      </w:pPr>
    </w:p>
    <w:p w:rsidR="005236A8" w:rsidRPr="008D2106" w:rsidRDefault="005236A8" w:rsidP="005236A8">
      <w:pPr>
        <w:ind w:firstLine="284"/>
        <w:jc w:val="both"/>
        <w:rPr>
          <w:b/>
          <w:sz w:val="28"/>
          <w:szCs w:val="28"/>
          <w:u w:val="single"/>
        </w:rPr>
      </w:pPr>
      <w:r w:rsidRPr="008D2106">
        <w:rPr>
          <w:b/>
          <w:sz w:val="28"/>
          <w:szCs w:val="28"/>
          <w:u w:val="single"/>
        </w:rPr>
        <w:t>Nom complet :</w:t>
      </w:r>
    </w:p>
    <w:p w:rsidR="005236A8" w:rsidRDefault="005236A8" w:rsidP="005236A8">
      <w:pPr>
        <w:jc w:val="both"/>
        <w:rPr>
          <w:b/>
          <w:u w:val="single"/>
        </w:rPr>
      </w:pPr>
    </w:p>
    <w:p w:rsidR="005236A8" w:rsidRPr="006D7BA5" w:rsidRDefault="005236A8" w:rsidP="005236A8">
      <w:pPr>
        <w:numPr>
          <w:ilvl w:val="0"/>
          <w:numId w:val="7"/>
        </w:numPr>
        <w:spacing w:after="0" w:line="240" w:lineRule="auto"/>
        <w:ind w:left="1276" w:hanging="283"/>
        <w:jc w:val="both"/>
        <w:rPr>
          <w:sz w:val="24"/>
          <w:szCs w:val="24"/>
        </w:rPr>
      </w:pPr>
      <w:r w:rsidRPr="006D7BA5">
        <w:rPr>
          <w:sz w:val="24"/>
          <w:szCs w:val="24"/>
        </w:rPr>
        <w:t xml:space="preserve">Les stations forestières des </w:t>
      </w:r>
      <w:r w:rsidR="00A16F9C">
        <w:rPr>
          <w:sz w:val="24"/>
          <w:szCs w:val="24"/>
        </w:rPr>
        <w:t xml:space="preserve">Crêtes </w:t>
      </w:r>
      <w:r w:rsidR="009561C9">
        <w:rPr>
          <w:sz w:val="24"/>
          <w:szCs w:val="24"/>
        </w:rPr>
        <w:t>Pré-ardennaises</w:t>
      </w:r>
    </w:p>
    <w:p w:rsidR="005236A8" w:rsidRPr="006D7BA5" w:rsidRDefault="005236A8" w:rsidP="005236A8">
      <w:pPr>
        <w:jc w:val="both"/>
        <w:rPr>
          <w:b/>
          <w:sz w:val="24"/>
          <w:szCs w:val="24"/>
          <w:u w:val="single"/>
        </w:rPr>
      </w:pPr>
    </w:p>
    <w:p w:rsidR="005236A8" w:rsidRPr="0005282B" w:rsidRDefault="005236A8" w:rsidP="0005282B">
      <w:pPr>
        <w:ind w:firstLine="284"/>
        <w:jc w:val="both"/>
        <w:rPr>
          <w:b/>
          <w:sz w:val="28"/>
          <w:szCs w:val="28"/>
          <w:u w:val="single"/>
        </w:rPr>
      </w:pPr>
      <w:r w:rsidRPr="008D2106">
        <w:rPr>
          <w:b/>
          <w:sz w:val="28"/>
          <w:szCs w:val="28"/>
          <w:u w:val="single"/>
        </w:rPr>
        <w:t>Abrégé :</w:t>
      </w:r>
    </w:p>
    <w:p w:rsidR="005236A8" w:rsidRPr="006D7BA5" w:rsidRDefault="005236A8" w:rsidP="005236A8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D7BA5">
        <w:rPr>
          <w:sz w:val="24"/>
          <w:szCs w:val="24"/>
        </w:rPr>
        <w:t>FloCpaSt</w:t>
      </w:r>
      <w:proofErr w:type="spellEnd"/>
    </w:p>
    <w:p w:rsidR="005236A8" w:rsidRPr="00953309" w:rsidRDefault="005236A8" w:rsidP="005236A8">
      <w:pPr>
        <w:jc w:val="both"/>
      </w:pPr>
    </w:p>
    <w:p w:rsidR="005236A8" w:rsidRPr="008D2106" w:rsidRDefault="005236A8" w:rsidP="005236A8">
      <w:pPr>
        <w:ind w:firstLine="284"/>
        <w:jc w:val="both"/>
        <w:rPr>
          <w:b/>
          <w:sz w:val="28"/>
          <w:szCs w:val="28"/>
          <w:u w:val="single"/>
        </w:rPr>
      </w:pPr>
      <w:r w:rsidRPr="008D2106">
        <w:rPr>
          <w:b/>
          <w:sz w:val="28"/>
          <w:szCs w:val="28"/>
          <w:u w:val="single"/>
        </w:rPr>
        <w:t>Résumé :</w:t>
      </w:r>
    </w:p>
    <w:p w:rsidR="005236A8" w:rsidRPr="006D7BA5" w:rsidRDefault="0093789A" w:rsidP="005236A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Duran</w:t>
      </w:r>
      <w:r w:rsidR="002A01F6">
        <w:rPr>
          <w:sz w:val="24"/>
          <w:szCs w:val="24"/>
        </w:rPr>
        <w:t>t les saisons de végétation 1982</w:t>
      </w:r>
      <w:r>
        <w:rPr>
          <w:sz w:val="24"/>
          <w:szCs w:val="24"/>
        </w:rPr>
        <w:t xml:space="preserve"> et 1983</w:t>
      </w:r>
      <w:r w:rsidR="00922E76">
        <w:rPr>
          <w:sz w:val="24"/>
          <w:szCs w:val="24"/>
        </w:rPr>
        <w:t xml:space="preserve">, Denis Girault a effectué </w:t>
      </w:r>
      <w:r>
        <w:rPr>
          <w:sz w:val="24"/>
          <w:szCs w:val="24"/>
        </w:rPr>
        <w:t xml:space="preserve">400 </w:t>
      </w:r>
      <w:r w:rsidR="005236A8" w:rsidRPr="006D7BA5">
        <w:rPr>
          <w:sz w:val="24"/>
          <w:szCs w:val="24"/>
        </w:rPr>
        <w:t>relevés</w:t>
      </w:r>
      <w:r>
        <w:rPr>
          <w:sz w:val="24"/>
          <w:szCs w:val="24"/>
        </w:rPr>
        <w:t xml:space="preserve"> dans l</w:t>
      </w:r>
      <w:r w:rsidR="005236A8" w:rsidRPr="006D7BA5">
        <w:rPr>
          <w:sz w:val="24"/>
          <w:szCs w:val="24"/>
        </w:rPr>
        <w:t>es fo</w:t>
      </w:r>
      <w:r>
        <w:rPr>
          <w:sz w:val="24"/>
          <w:szCs w:val="24"/>
        </w:rPr>
        <w:t xml:space="preserve">rêts des </w:t>
      </w:r>
      <w:r w:rsidR="00A16F9C">
        <w:rPr>
          <w:sz w:val="24"/>
          <w:szCs w:val="24"/>
        </w:rPr>
        <w:t xml:space="preserve">Crêtes </w:t>
      </w:r>
      <w:r w:rsidR="009561C9">
        <w:rPr>
          <w:sz w:val="24"/>
          <w:szCs w:val="24"/>
        </w:rPr>
        <w:t>Pré-ardennaises</w:t>
      </w:r>
      <w:r>
        <w:rPr>
          <w:sz w:val="24"/>
          <w:szCs w:val="24"/>
        </w:rPr>
        <w:t>. « Chaque relevé comporte des observations sur la flore (liste, par strate, des espèces végétales rencontrées),</w:t>
      </w:r>
      <w:r w:rsidR="008A7694">
        <w:rPr>
          <w:sz w:val="24"/>
          <w:szCs w:val="24"/>
        </w:rPr>
        <w:t xml:space="preserve"> le sol (sondage pédologique), la localisation topographique, la nature du peuplement. Leur analyse lui a</w:t>
      </w:r>
      <w:r w:rsidR="005236A8" w:rsidRPr="006D7BA5">
        <w:rPr>
          <w:sz w:val="24"/>
          <w:szCs w:val="24"/>
        </w:rPr>
        <w:t xml:space="preserve"> permis </w:t>
      </w:r>
      <w:r w:rsidR="00496A72" w:rsidRPr="006D7BA5">
        <w:rPr>
          <w:sz w:val="24"/>
          <w:szCs w:val="24"/>
        </w:rPr>
        <w:t>de publier en mai 1985 le catalogue des stations forestières de cette région.</w:t>
      </w:r>
      <w:r>
        <w:rPr>
          <w:sz w:val="24"/>
          <w:szCs w:val="24"/>
        </w:rPr>
        <w:t xml:space="preserve"> Ce dernier mentionne les 357 relevés qui ont été retenus après élimination des relevés intermédiaires entre deux stations, ou trop atypique.</w:t>
      </w:r>
    </w:p>
    <w:p w:rsidR="005236A8" w:rsidRPr="006D7BA5" w:rsidRDefault="005236A8" w:rsidP="005236A8">
      <w:pPr>
        <w:ind w:firstLine="284"/>
        <w:jc w:val="both"/>
        <w:rPr>
          <w:b/>
          <w:sz w:val="24"/>
          <w:szCs w:val="24"/>
          <w:u w:val="single"/>
        </w:rPr>
      </w:pPr>
    </w:p>
    <w:p w:rsidR="005236A8" w:rsidRPr="00FD4E36" w:rsidRDefault="005236A8" w:rsidP="00FD4E36">
      <w:pPr>
        <w:ind w:firstLine="360"/>
        <w:jc w:val="both"/>
        <w:rPr>
          <w:b/>
          <w:sz w:val="28"/>
          <w:szCs w:val="28"/>
          <w:u w:val="single"/>
        </w:rPr>
      </w:pPr>
      <w:r w:rsidRPr="008D2106">
        <w:rPr>
          <w:b/>
          <w:sz w:val="28"/>
          <w:szCs w:val="28"/>
          <w:u w:val="single"/>
        </w:rPr>
        <w:t xml:space="preserve">Objectifs : </w:t>
      </w:r>
    </w:p>
    <w:p w:rsidR="005236A8" w:rsidRPr="006D7BA5" w:rsidRDefault="0005282B" w:rsidP="00496A72">
      <w:pPr>
        <w:numPr>
          <w:ilvl w:val="0"/>
          <w:numId w:val="1"/>
        </w:numPr>
        <w:tabs>
          <w:tab w:val="clear" w:pos="720"/>
          <w:tab w:val="num" w:pos="1276"/>
        </w:tabs>
        <w:ind w:left="1276" w:hanging="283"/>
        <w:jc w:val="both"/>
        <w:rPr>
          <w:sz w:val="24"/>
          <w:szCs w:val="24"/>
        </w:rPr>
      </w:pPr>
      <w:r>
        <w:rPr>
          <w:sz w:val="24"/>
          <w:szCs w:val="24"/>
        </w:rPr>
        <w:t>Inventorier les forêts de la région des</w:t>
      </w:r>
      <w:r w:rsidR="000613EC">
        <w:rPr>
          <w:sz w:val="24"/>
          <w:szCs w:val="24"/>
        </w:rPr>
        <w:t xml:space="preserve"> </w:t>
      </w:r>
      <w:r w:rsidR="00A16F9C">
        <w:rPr>
          <w:sz w:val="24"/>
          <w:szCs w:val="24"/>
        </w:rPr>
        <w:t xml:space="preserve">Crêtes </w:t>
      </w:r>
      <w:r w:rsidR="009561C9">
        <w:rPr>
          <w:sz w:val="24"/>
          <w:szCs w:val="24"/>
        </w:rPr>
        <w:t>Pré-ardennaises</w:t>
      </w:r>
      <w:r w:rsidR="00A16F9C">
        <w:rPr>
          <w:sz w:val="24"/>
          <w:szCs w:val="24"/>
        </w:rPr>
        <w:t xml:space="preserve"> </w:t>
      </w:r>
      <w:r>
        <w:rPr>
          <w:sz w:val="24"/>
          <w:szCs w:val="24"/>
        </w:rPr>
        <w:t>pour en définir les types de station et leurs potentialités.</w:t>
      </w:r>
    </w:p>
    <w:p w:rsidR="005236A8" w:rsidRPr="00FD4E36" w:rsidRDefault="005236A8" w:rsidP="00FD4E36">
      <w:pPr>
        <w:ind w:firstLine="284"/>
        <w:jc w:val="both"/>
        <w:rPr>
          <w:b/>
          <w:sz w:val="28"/>
          <w:szCs w:val="28"/>
          <w:u w:val="single"/>
        </w:rPr>
      </w:pPr>
      <w:r w:rsidRPr="0005282B">
        <w:rPr>
          <w:b/>
          <w:sz w:val="28"/>
          <w:szCs w:val="28"/>
          <w:u w:val="single"/>
        </w:rPr>
        <w:t>Protocole de prélèvement et d’observation :</w:t>
      </w:r>
    </w:p>
    <w:p w:rsidR="005236A8" w:rsidRPr="00953309" w:rsidRDefault="005236A8" w:rsidP="005236A8">
      <w:pPr>
        <w:jc w:val="both"/>
      </w:pPr>
    </w:p>
    <w:p w:rsidR="005236A8" w:rsidRPr="005B1DEA" w:rsidRDefault="005236A8" w:rsidP="0005282B">
      <w:pPr>
        <w:numPr>
          <w:ilvl w:val="1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334642">
        <w:rPr>
          <w:b/>
          <w:sz w:val="28"/>
          <w:szCs w:val="28"/>
          <w:u w:val="single"/>
        </w:rPr>
        <w:t>Fichier Placettes :</w:t>
      </w:r>
      <w:r w:rsidRPr="00334642">
        <w:t xml:space="preserve"> </w:t>
      </w:r>
      <w:r w:rsidRPr="006D7BA5">
        <w:rPr>
          <w:sz w:val="24"/>
          <w:szCs w:val="24"/>
        </w:rPr>
        <w:t>(</w:t>
      </w:r>
      <w:r w:rsidR="0005282B">
        <w:rPr>
          <w:sz w:val="24"/>
          <w:szCs w:val="24"/>
        </w:rPr>
        <w:t>FloCpaSt</w:t>
      </w:r>
      <w:r w:rsidRPr="006D7BA5">
        <w:rPr>
          <w:sz w:val="24"/>
          <w:szCs w:val="24"/>
        </w:rPr>
        <w:t>_placettes_pour_BDD.xlsx)</w:t>
      </w:r>
    </w:p>
    <w:p w:rsidR="005B1DEA" w:rsidRPr="006D7BA5" w:rsidRDefault="005B1DEA" w:rsidP="005B1DEA">
      <w:pPr>
        <w:spacing w:after="0" w:line="240" w:lineRule="auto"/>
        <w:ind w:left="1440"/>
        <w:rPr>
          <w:sz w:val="24"/>
          <w:szCs w:val="24"/>
          <w:u w:val="single"/>
        </w:rPr>
      </w:pPr>
    </w:p>
    <w:p w:rsidR="005236A8" w:rsidRPr="00AD11A3" w:rsidRDefault="005236A8" w:rsidP="005236A8">
      <w:pPr>
        <w:rPr>
          <w:sz w:val="24"/>
          <w:szCs w:val="24"/>
          <w:u w:val="single"/>
        </w:rPr>
      </w:pPr>
    </w:p>
    <w:p w:rsidR="005236A8" w:rsidRPr="00AD11A3" w:rsidRDefault="005B1DEA" w:rsidP="005B1D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La plupart des placettes ont été implantées suivant des </w:t>
      </w:r>
      <w:proofErr w:type="spellStart"/>
      <w:r>
        <w:rPr>
          <w:sz w:val="24"/>
          <w:szCs w:val="24"/>
        </w:rPr>
        <w:t>transects</w:t>
      </w:r>
      <w:proofErr w:type="spellEnd"/>
      <w:r>
        <w:rPr>
          <w:sz w:val="24"/>
          <w:szCs w:val="24"/>
        </w:rPr>
        <w:t xml:space="preserve"> choisis au préalable, de manière à appréhender l’ensemble des variations écologiques apparentes (topographie, exposition). Ces « </w:t>
      </w:r>
      <w:proofErr w:type="spellStart"/>
      <w:r>
        <w:rPr>
          <w:sz w:val="24"/>
          <w:szCs w:val="24"/>
        </w:rPr>
        <w:t>transects</w:t>
      </w:r>
      <w:proofErr w:type="spellEnd"/>
      <w:r>
        <w:rPr>
          <w:sz w:val="24"/>
          <w:szCs w:val="24"/>
        </w:rPr>
        <w:t xml:space="preserve"> » ont été répartis sur l’ensemble de chaque région naturelle, et aussi bien en forêt soumise qu’en forêt privée. Certains relevés ont été choisis subjectivement afin de compléter l’échantillonnage. </w:t>
      </w:r>
      <w:r w:rsidR="008A7694">
        <w:rPr>
          <w:sz w:val="24"/>
          <w:szCs w:val="24"/>
        </w:rPr>
        <w:t xml:space="preserve">Pour la mise en base, </w:t>
      </w:r>
      <w:r w:rsidR="00791F67">
        <w:rPr>
          <w:sz w:val="24"/>
          <w:szCs w:val="24"/>
        </w:rPr>
        <w:t xml:space="preserve">sur les 357 placettes, </w:t>
      </w:r>
      <w:r w:rsidR="00BB50B7">
        <w:rPr>
          <w:sz w:val="24"/>
          <w:szCs w:val="24"/>
        </w:rPr>
        <w:t>332</w:t>
      </w:r>
      <w:r w:rsidR="00791F67">
        <w:rPr>
          <w:sz w:val="24"/>
          <w:szCs w:val="24"/>
        </w:rPr>
        <w:t xml:space="preserve"> </w:t>
      </w:r>
      <w:r w:rsidR="00AD11A3" w:rsidRPr="00AD11A3">
        <w:rPr>
          <w:sz w:val="24"/>
          <w:szCs w:val="24"/>
        </w:rPr>
        <w:t xml:space="preserve">ont pu être </w:t>
      </w:r>
      <w:r>
        <w:rPr>
          <w:sz w:val="24"/>
          <w:szCs w:val="24"/>
        </w:rPr>
        <w:t xml:space="preserve">géo-référencées </w:t>
      </w:r>
      <w:r w:rsidR="00AD11A3" w:rsidRPr="00AD11A3">
        <w:rPr>
          <w:sz w:val="24"/>
          <w:szCs w:val="24"/>
        </w:rPr>
        <w:t xml:space="preserve">à partir des </w:t>
      </w:r>
      <w:r>
        <w:rPr>
          <w:sz w:val="24"/>
          <w:szCs w:val="24"/>
        </w:rPr>
        <w:t>cartes I</w:t>
      </w:r>
      <w:r w:rsidR="00AD11A3" w:rsidRPr="00AD11A3">
        <w:rPr>
          <w:sz w:val="24"/>
          <w:szCs w:val="24"/>
        </w:rPr>
        <w:t>GN au 1/25000</w:t>
      </w:r>
      <w:r>
        <w:rPr>
          <w:sz w:val="24"/>
          <w:szCs w:val="24"/>
        </w:rPr>
        <w:t xml:space="preserve"> qui ont été utilisées pour la campagne de terrain.</w:t>
      </w:r>
    </w:p>
    <w:p w:rsidR="005236A8" w:rsidRDefault="005236A8" w:rsidP="005236A8">
      <w:pPr>
        <w:rPr>
          <w:u w:val="single"/>
        </w:rPr>
      </w:pPr>
    </w:p>
    <w:p w:rsidR="005236A8" w:rsidRDefault="005236A8" w:rsidP="005236A8">
      <w:pPr>
        <w:rPr>
          <w:u w:val="single"/>
        </w:rPr>
      </w:pPr>
    </w:p>
    <w:p w:rsidR="005236A8" w:rsidRDefault="005236A8" w:rsidP="005236A8">
      <w:pPr>
        <w:ind w:left="-1417" w:firstLine="141"/>
        <w:rPr>
          <w:u w:val="single"/>
        </w:rPr>
      </w:pPr>
    </w:p>
    <w:p w:rsidR="005236A8" w:rsidRPr="006D7BA5" w:rsidRDefault="005236A8" w:rsidP="005236A8">
      <w:pPr>
        <w:rPr>
          <w:rFonts w:ascii="Arial" w:hAnsi="Arial" w:cs="Arial"/>
          <w:sz w:val="24"/>
          <w:szCs w:val="24"/>
          <w:u w:val="single"/>
        </w:rPr>
      </w:pPr>
    </w:p>
    <w:p w:rsidR="005236A8" w:rsidRPr="0005282B" w:rsidRDefault="005236A8" w:rsidP="005236A8">
      <w:pPr>
        <w:numPr>
          <w:ilvl w:val="0"/>
          <w:numId w:val="9"/>
        </w:numPr>
        <w:spacing w:after="0" w:line="240" w:lineRule="auto"/>
        <w:ind w:left="1276" w:hanging="283"/>
        <w:rPr>
          <w:rFonts w:cs="Arial"/>
          <w:sz w:val="24"/>
          <w:szCs w:val="24"/>
        </w:rPr>
      </w:pPr>
      <w:r w:rsidRPr="0005282B">
        <w:rPr>
          <w:rFonts w:cs="Arial"/>
          <w:sz w:val="24"/>
          <w:szCs w:val="24"/>
        </w:rPr>
        <w:t xml:space="preserve">Colonne A : localisation </w:t>
      </w:r>
    </w:p>
    <w:p w:rsidR="005236A8" w:rsidRPr="00C25169" w:rsidRDefault="005236A8" w:rsidP="00C25169">
      <w:pPr>
        <w:ind w:left="1276" w:firstLine="140"/>
        <w:rPr>
          <w:rFonts w:cs="Arial"/>
          <w:sz w:val="24"/>
          <w:szCs w:val="24"/>
        </w:rPr>
      </w:pPr>
      <w:r w:rsidRPr="0005282B">
        <w:rPr>
          <w:rFonts w:cs="Arial"/>
          <w:sz w:val="24"/>
          <w:szCs w:val="24"/>
        </w:rPr>
        <w:t>C’est la combinaison de l’abréviation de l’étude et du numéro</w:t>
      </w:r>
      <w:r w:rsidR="00F23998" w:rsidRPr="0005282B">
        <w:rPr>
          <w:rFonts w:cs="Arial"/>
          <w:sz w:val="24"/>
          <w:szCs w:val="24"/>
        </w:rPr>
        <w:t xml:space="preserve"> du point de relevé</w:t>
      </w:r>
      <w:r w:rsidR="00C25169">
        <w:rPr>
          <w:rFonts w:cs="Arial"/>
          <w:sz w:val="24"/>
          <w:szCs w:val="24"/>
        </w:rPr>
        <w:t>.</w:t>
      </w:r>
    </w:p>
    <w:p w:rsidR="005236A8" w:rsidRPr="0005282B" w:rsidRDefault="005236A8" w:rsidP="005236A8">
      <w:pPr>
        <w:numPr>
          <w:ilvl w:val="2"/>
          <w:numId w:val="1"/>
        </w:numPr>
        <w:tabs>
          <w:tab w:val="clear" w:pos="2160"/>
          <w:tab w:val="num" w:pos="1276"/>
        </w:tabs>
        <w:spacing w:after="0" w:line="240" w:lineRule="auto"/>
        <w:ind w:left="1276" w:hanging="283"/>
        <w:jc w:val="both"/>
        <w:rPr>
          <w:rFonts w:cs="Arial"/>
          <w:sz w:val="24"/>
          <w:szCs w:val="24"/>
        </w:rPr>
      </w:pPr>
      <w:r w:rsidRPr="0005282B">
        <w:rPr>
          <w:rFonts w:cs="Arial"/>
          <w:sz w:val="24"/>
          <w:szCs w:val="24"/>
        </w:rPr>
        <w:t>Colonne B : Placette unitaire (PAU)</w:t>
      </w:r>
    </w:p>
    <w:p w:rsidR="005236A8" w:rsidRPr="0005282B" w:rsidRDefault="00C25169" w:rsidP="005236A8">
      <w:pPr>
        <w:tabs>
          <w:tab w:val="left" w:pos="1134"/>
        </w:tabs>
        <w:ind w:left="1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F23998" w:rsidRPr="0005282B">
        <w:rPr>
          <w:rFonts w:cs="Arial"/>
          <w:sz w:val="24"/>
          <w:szCs w:val="24"/>
        </w:rPr>
        <w:t>Comme il n’est pas appliqué de trait</w:t>
      </w:r>
      <w:r>
        <w:rPr>
          <w:rFonts w:cs="Arial"/>
          <w:sz w:val="24"/>
          <w:szCs w:val="24"/>
        </w:rPr>
        <w:t xml:space="preserve">ement particulier à la placette unitaire, elle </w:t>
      </w:r>
      <w:r w:rsidR="00F23998" w:rsidRPr="0005282B">
        <w:rPr>
          <w:rFonts w:cs="Arial"/>
          <w:sz w:val="24"/>
          <w:szCs w:val="24"/>
        </w:rPr>
        <w:t xml:space="preserve">prend la </w:t>
      </w:r>
      <w:r w:rsidR="0005282B">
        <w:rPr>
          <w:rFonts w:cs="Arial"/>
          <w:sz w:val="24"/>
          <w:szCs w:val="24"/>
        </w:rPr>
        <w:t>même appellation que la localisation</w:t>
      </w:r>
      <w:r w:rsidR="00F23998" w:rsidRPr="0005282B">
        <w:rPr>
          <w:rFonts w:cs="Arial"/>
          <w:sz w:val="24"/>
          <w:szCs w:val="24"/>
        </w:rPr>
        <w:t>.</w:t>
      </w:r>
    </w:p>
    <w:p w:rsidR="004E0E1F" w:rsidRPr="0005282B" w:rsidRDefault="004E0E1F" w:rsidP="004E0E1F">
      <w:pPr>
        <w:numPr>
          <w:ilvl w:val="2"/>
          <w:numId w:val="1"/>
        </w:numPr>
        <w:tabs>
          <w:tab w:val="clear" w:pos="2160"/>
          <w:tab w:val="num" w:pos="1276"/>
        </w:tabs>
        <w:spacing w:after="0" w:line="240" w:lineRule="auto"/>
        <w:ind w:left="1276" w:hanging="283"/>
        <w:jc w:val="both"/>
        <w:rPr>
          <w:rFonts w:cs="Arial"/>
          <w:sz w:val="24"/>
          <w:szCs w:val="24"/>
        </w:rPr>
      </w:pPr>
      <w:r w:rsidRPr="0005282B">
        <w:rPr>
          <w:rFonts w:cs="Arial"/>
          <w:sz w:val="24"/>
          <w:szCs w:val="24"/>
        </w:rPr>
        <w:t>Colonne L : Pente</w:t>
      </w:r>
    </w:p>
    <w:p w:rsidR="004E0E1F" w:rsidRDefault="00C25169" w:rsidP="0005282B">
      <w:pPr>
        <w:spacing w:after="0" w:line="240" w:lineRule="auto"/>
        <w:ind w:left="1276" w:firstLine="1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 pente a été codée </w:t>
      </w:r>
      <w:r w:rsidR="00A16F9C">
        <w:rPr>
          <w:rFonts w:cs="Arial"/>
          <w:sz w:val="24"/>
          <w:szCs w:val="24"/>
        </w:rPr>
        <w:t xml:space="preserve">par Denis Girault </w:t>
      </w:r>
      <w:r>
        <w:rPr>
          <w:rFonts w:cs="Arial"/>
          <w:sz w:val="24"/>
          <w:szCs w:val="24"/>
        </w:rPr>
        <w:t>en 5</w:t>
      </w:r>
      <w:r w:rsidR="0005282B">
        <w:rPr>
          <w:rFonts w:cs="Arial"/>
          <w:sz w:val="24"/>
          <w:szCs w:val="24"/>
        </w:rPr>
        <w:t xml:space="preserve"> classes : 0-</w:t>
      </w:r>
      <w:r w:rsidR="004E0E1F" w:rsidRPr="0005282B">
        <w:rPr>
          <w:rFonts w:cs="Arial"/>
          <w:sz w:val="24"/>
          <w:szCs w:val="24"/>
        </w:rPr>
        <w:t>5</w:t>
      </w:r>
      <w:r w:rsidR="0005282B">
        <w:rPr>
          <w:rFonts w:cs="Arial"/>
          <w:sz w:val="24"/>
          <w:szCs w:val="24"/>
        </w:rPr>
        <w:t xml:space="preserve">%, </w:t>
      </w:r>
      <w:r>
        <w:rPr>
          <w:rFonts w:cs="Arial"/>
          <w:sz w:val="24"/>
          <w:szCs w:val="24"/>
        </w:rPr>
        <w:t>10-15%, 20-25%, 30-35% et &gt;40%</w:t>
      </w:r>
      <w:r w:rsidR="004E0E1F" w:rsidRPr="0005282B">
        <w:rPr>
          <w:rFonts w:cs="Arial"/>
          <w:sz w:val="24"/>
          <w:szCs w:val="24"/>
        </w:rPr>
        <w:t xml:space="preserve"> en 5 %. </w:t>
      </w:r>
      <w:r>
        <w:rPr>
          <w:rFonts w:cs="Arial"/>
          <w:sz w:val="24"/>
          <w:szCs w:val="24"/>
        </w:rPr>
        <w:t xml:space="preserve">Dans la base, </w:t>
      </w:r>
      <w:r w:rsidR="004E0E1F" w:rsidRPr="0005282B">
        <w:rPr>
          <w:rFonts w:cs="Arial"/>
          <w:sz w:val="24"/>
          <w:szCs w:val="24"/>
        </w:rPr>
        <w:t>F Gérémia a indiqué la valeur moyenne de</w:t>
      </w:r>
      <w:r>
        <w:rPr>
          <w:rFonts w:cs="Arial"/>
          <w:sz w:val="24"/>
          <w:szCs w:val="24"/>
        </w:rPr>
        <w:t xml:space="preserve"> ces</w:t>
      </w:r>
      <w:r w:rsidR="004E0E1F" w:rsidRPr="0005282B">
        <w:rPr>
          <w:rFonts w:cs="Arial"/>
          <w:sz w:val="24"/>
          <w:szCs w:val="24"/>
        </w:rPr>
        <w:t xml:space="preserve"> intervalles </w:t>
      </w:r>
      <w:r w:rsidR="00723231">
        <w:rPr>
          <w:rFonts w:cs="Arial"/>
          <w:sz w:val="24"/>
          <w:szCs w:val="24"/>
        </w:rPr>
        <w:t>en degrés</w:t>
      </w:r>
      <w:r w:rsidR="00E613AD">
        <w:rPr>
          <w:rFonts w:cs="Arial"/>
          <w:sz w:val="24"/>
          <w:szCs w:val="24"/>
        </w:rPr>
        <w:t xml:space="preserve"> décimaux</w:t>
      </w:r>
      <w:bookmarkStart w:id="0" w:name="_GoBack"/>
      <w:bookmarkEnd w:id="0"/>
      <w:r w:rsidR="00723231">
        <w:rPr>
          <w:rFonts w:cs="Arial"/>
          <w:sz w:val="24"/>
          <w:szCs w:val="24"/>
        </w:rPr>
        <w:t xml:space="preserve">. Comme les champs ne tolères que les chiffres, la classe </w:t>
      </w:r>
      <w:r w:rsidR="004E0E1F" w:rsidRPr="0005282B">
        <w:rPr>
          <w:rFonts w:cs="Arial"/>
          <w:sz w:val="24"/>
          <w:szCs w:val="24"/>
        </w:rPr>
        <w:t>[40 ; ∞]</w:t>
      </w:r>
      <w:r w:rsidR="00723231">
        <w:rPr>
          <w:rFonts w:cs="Arial"/>
          <w:sz w:val="24"/>
          <w:szCs w:val="24"/>
        </w:rPr>
        <w:t xml:space="preserve"> a été indiquée par « 999 » et la mention reportée dans le champ remarque.</w:t>
      </w:r>
    </w:p>
    <w:p w:rsidR="003161FB" w:rsidRPr="0005282B" w:rsidRDefault="003161FB" w:rsidP="0005282B">
      <w:pPr>
        <w:spacing w:after="0" w:line="240" w:lineRule="auto"/>
        <w:ind w:left="1276" w:firstLine="140"/>
        <w:jc w:val="both"/>
        <w:rPr>
          <w:rFonts w:cs="Arial"/>
          <w:sz w:val="24"/>
          <w:szCs w:val="24"/>
        </w:rPr>
      </w:pPr>
    </w:p>
    <w:p w:rsidR="00F4284F" w:rsidRPr="0005282B" w:rsidRDefault="00F4284F" w:rsidP="004E0E1F">
      <w:pPr>
        <w:numPr>
          <w:ilvl w:val="2"/>
          <w:numId w:val="1"/>
        </w:numPr>
        <w:tabs>
          <w:tab w:val="clear" w:pos="2160"/>
          <w:tab w:val="num" w:pos="1276"/>
        </w:tabs>
        <w:spacing w:after="0" w:line="240" w:lineRule="auto"/>
        <w:ind w:left="1276" w:hanging="283"/>
        <w:jc w:val="both"/>
        <w:rPr>
          <w:rFonts w:cs="Arial"/>
          <w:sz w:val="24"/>
          <w:szCs w:val="24"/>
        </w:rPr>
      </w:pPr>
      <w:r w:rsidRPr="0005282B">
        <w:rPr>
          <w:rFonts w:cs="Arial"/>
          <w:sz w:val="24"/>
          <w:szCs w:val="24"/>
        </w:rPr>
        <w:t>Colonne N :</w:t>
      </w:r>
      <w:r w:rsidR="00CA237E" w:rsidRPr="0005282B">
        <w:rPr>
          <w:rFonts w:cs="Arial"/>
          <w:sz w:val="24"/>
          <w:szCs w:val="24"/>
        </w:rPr>
        <w:t xml:space="preserve"> </w:t>
      </w:r>
      <w:r w:rsidRPr="0005282B">
        <w:rPr>
          <w:rFonts w:cs="Arial"/>
          <w:sz w:val="24"/>
          <w:szCs w:val="24"/>
        </w:rPr>
        <w:t xml:space="preserve">Exposition </w:t>
      </w:r>
    </w:p>
    <w:p w:rsidR="004E0E1F" w:rsidRPr="0005282B" w:rsidRDefault="00C25169" w:rsidP="005236A8">
      <w:pPr>
        <w:tabs>
          <w:tab w:val="left" w:pos="1134"/>
        </w:tabs>
        <w:ind w:left="1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CA237E" w:rsidRPr="0005282B">
        <w:rPr>
          <w:rFonts w:cs="Arial"/>
          <w:sz w:val="24"/>
          <w:szCs w:val="24"/>
        </w:rPr>
        <w:t>Denis Girault les a classées en 4 classes : nord, sud, est et ouest. Elles ont été encodées</w:t>
      </w:r>
      <w:r w:rsidR="00B45461" w:rsidRPr="0005282B">
        <w:rPr>
          <w:rFonts w:cs="Arial"/>
          <w:sz w:val="24"/>
          <w:szCs w:val="24"/>
        </w:rPr>
        <w:t xml:space="preserve"> respectivement : 360, 180, 90 et </w:t>
      </w:r>
      <w:r w:rsidR="00CA237E" w:rsidRPr="0005282B">
        <w:rPr>
          <w:rFonts w:cs="Arial"/>
          <w:sz w:val="24"/>
          <w:szCs w:val="24"/>
        </w:rPr>
        <w:t>270°</w:t>
      </w:r>
    </w:p>
    <w:p w:rsidR="005236A8" w:rsidRPr="0005282B" w:rsidRDefault="00F4284F" w:rsidP="005236A8">
      <w:pPr>
        <w:numPr>
          <w:ilvl w:val="2"/>
          <w:numId w:val="1"/>
        </w:numPr>
        <w:tabs>
          <w:tab w:val="clear" w:pos="2160"/>
          <w:tab w:val="left" w:pos="1134"/>
          <w:tab w:val="num" w:pos="1701"/>
        </w:tabs>
        <w:spacing w:after="0" w:line="240" w:lineRule="auto"/>
        <w:ind w:left="1276" w:hanging="283"/>
        <w:rPr>
          <w:rFonts w:cs="Arial"/>
          <w:sz w:val="24"/>
          <w:szCs w:val="24"/>
        </w:rPr>
      </w:pPr>
      <w:r w:rsidRPr="0005282B">
        <w:rPr>
          <w:rFonts w:cs="Arial"/>
          <w:sz w:val="24"/>
          <w:szCs w:val="24"/>
        </w:rPr>
        <w:t>Colonne P</w:t>
      </w:r>
      <w:r w:rsidR="005236A8" w:rsidRPr="0005282B">
        <w:rPr>
          <w:rFonts w:cs="Arial"/>
          <w:sz w:val="24"/>
          <w:szCs w:val="24"/>
        </w:rPr>
        <w:t xml:space="preserve"> : position topographique </w:t>
      </w:r>
    </w:p>
    <w:p w:rsidR="005236A8" w:rsidRPr="0005282B" w:rsidRDefault="00C25169" w:rsidP="005236A8">
      <w:pPr>
        <w:tabs>
          <w:tab w:val="left" w:pos="1134"/>
          <w:tab w:val="num" w:pos="1701"/>
        </w:tabs>
        <w:ind w:left="1276" w:hanging="28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5236A8" w:rsidRPr="0005282B">
        <w:rPr>
          <w:rFonts w:cs="Arial"/>
          <w:sz w:val="24"/>
          <w:szCs w:val="24"/>
        </w:rPr>
        <w:t>Situation de la placette dans le relief environnant :</w:t>
      </w:r>
      <w:r w:rsidR="00CD5A74" w:rsidRPr="0005282B">
        <w:rPr>
          <w:rFonts w:cs="Arial"/>
          <w:sz w:val="24"/>
          <w:szCs w:val="24"/>
        </w:rPr>
        <w:t xml:space="preserve"> Plateau, rebord de plateau, haut de pente, </w:t>
      </w:r>
      <w:proofErr w:type="spellStart"/>
      <w:r w:rsidR="00CD5A74" w:rsidRPr="0005282B">
        <w:rPr>
          <w:rFonts w:cs="Arial"/>
          <w:sz w:val="24"/>
          <w:szCs w:val="24"/>
        </w:rPr>
        <w:t>mi-pente</w:t>
      </w:r>
      <w:proofErr w:type="spellEnd"/>
      <w:r w:rsidR="00CD5A74" w:rsidRPr="0005282B">
        <w:rPr>
          <w:rFonts w:cs="Arial"/>
          <w:sz w:val="24"/>
          <w:szCs w:val="24"/>
        </w:rPr>
        <w:t>, bas de pente et vallon. Cette dernière dénomination a été encodée comme « fond de vallon ».</w:t>
      </w:r>
    </w:p>
    <w:p w:rsidR="005236A8" w:rsidRPr="00AD3A6B" w:rsidRDefault="00F23998" w:rsidP="005236A8">
      <w:pPr>
        <w:numPr>
          <w:ilvl w:val="0"/>
          <w:numId w:val="1"/>
        </w:numPr>
        <w:tabs>
          <w:tab w:val="clear" w:pos="720"/>
          <w:tab w:val="num" w:pos="1276"/>
        </w:tabs>
        <w:ind w:left="1276" w:hanging="28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Peuplement</w:t>
      </w:r>
      <w:r w:rsidR="005236A8" w:rsidRPr="00AD3A6B">
        <w:rPr>
          <w:b/>
          <w:sz w:val="28"/>
          <w:szCs w:val="28"/>
          <w:u w:val="single"/>
        </w:rPr>
        <w:t> :</w:t>
      </w:r>
    </w:p>
    <w:p w:rsidR="005236A8" w:rsidRPr="006D7BA5" w:rsidRDefault="00F23998" w:rsidP="003161FB">
      <w:pPr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161FB">
        <w:rPr>
          <w:rFonts w:ascii="Arial" w:hAnsi="Arial" w:cs="Arial"/>
          <w:sz w:val="24"/>
          <w:szCs w:val="24"/>
        </w:rPr>
        <w:t>En chantier</w:t>
      </w:r>
    </w:p>
    <w:p w:rsidR="005236A8" w:rsidRPr="00953309" w:rsidRDefault="005236A8" w:rsidP="005236A8">
      <w:pPr>
        <w:jc w:val="both"/>
      </w:pPr>
    </w:p>
    <w:p w:rsidR="005236A8" w:rsidRPr="00DB28FB" w:rsidRDefault="005236A8" w:rsidP="005236A8">
      <w:pPr>
        <w:numPr>
          <w:ilvl w:val="0"/>
          <w:numId w:val="5"/>
        </w:numPr>
        <w:tabs>
          <w:tab w:val="left" w:pos="709"/>
        </w:tabs>
        <w:ind w:left="1276" w:hanging="283"/>
        <w:jc w:val="both"/>
        <w:rPr>
          <w:b/>
          <w:sz w:val="28"/>
          <w:szCs w:val="28"/>
          <w:u w:val="single"/>
        </w:rPr>
      </w:pPr>
      <w:r w:rsidRPr="00DB28FB">
        <w:rPr>
          <w:b/>
          <w:sz w:val="28"/>
          <w:szCs w:val="28"/>
          <w:u w:val="single"/>
        </w:rPr>
        <w:t>Floristique :</w:t>
      </w:r>
    </w:p>
    <w:p w:rsidR="005236A8" w:rsidRPr="0005282B" w:rsidRDefault="005236A8" w:rsidP="005236A8">
      <w:pPr>
        <w:ind w:left="720"/>
        <w:jc w:val="both"/>
      </w:pPr>
    </w:p>
    <w:p w:rsidR="00740F30" w:rsidRDefault="00740F30" w:rsidP="003161FB">
      <w:pPr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Les fiches des relevés de terrain n’ayant pas été retrouvées, François Gérémia les a encodées à partir du tableau floristique qui a servi à l’analyse de Denis Girault. Ceux-ci incluent bien évidemment les 50 relevés types qui ont été publiés dans le catalogue des stations et encodés sur la base SOPHY </w:t>
      </w:r>
      <w:r w:rsidR="00A16F9C">
        <w:rPr>
          <w:rFonts w:cs="Arial"/>
          <w:sz w:val="24"/>
          <w:szCs w:val="24"/>
        </w:rPr>
        <w:t>(</w:t>
      </w:r>
      <w:r>
        <w:rPr>
          <w:rFonts w:cs="Arial"/>
          <w:sz w:val="24"/>
          <w:szCs w:val="24"/>
        </w:rPr>
        <w:t>en double pour certains d’entre  eux</w:t>
      </w:r>
      <w:r w:rsidR="00A16F9C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>.</w:t>
      </w:r>
    </w:p>
    <w:p w:rsidR="005236A8" w:rsidRDefault="005236A8" w:rsidP="003161FB">
      <w:pPr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 w:rsidRPr="0005282B">
        <w:rPr>
          <w:rFonts w:cs="Arial"/>
          <w:sz w:val="24"/>
          <w:szCs w:val="24"/>
        </w:rPr>
        <w:t>Relevé selon la méthode Zuricho-Montpelliéraine, Braun Blan</w:t>
      </w:r>
      <w:r w:rsidR="003161FB">
        <w:rPr>
          <w:rFonts w:cs="Arial"/>
          <w:sz w:val="24"/>
          <w:szCs w:val="24"/>
        </w:rPr>
        <w:t>quet 1932 sur des placettes de 400m</w:t>
      </w:r>
      <w:r w:rsidR="003161FB" w:rsidRPr="003161FB">
        <w:rPr>
          <w:rFonts w:cs="Arial"/>
          <w:sz w:val="24"/>
          <w:szCs w:val="24"/>
          <w:vertAlign w:val="superscript"/>
        </w:rPr>
        <w:t>2</w:t>
      </w:r>
      <w:r w:rsidR="003161FB">
        <w:rPr>
          <w:rFonts w:cs="Arial"/>
          <w:sz w:val="24"/>
          <w:szCs w:val="24"/>
        </w:rPr>
        <w:t>.</w:t>
      </w:r>
    </w:p>
    <w:p w:rsidR="00026C2B" w:rsidRPr="003161FB" w:rsidRDefault="00026C2B" w:rsidP="00026C2B">
      <w:pPr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Dates : On connaît la date </w:t>
      </w:r>
      <w:r w:rsidR="00702A21">
        <w:rPr>
          <w:rFonts w:cs="Arial"/>
          <w:sz w:val="24"/>
          <w:szCs w:val="24"/>
        </w:rPr>
        <w:t>des</w:t>
      </w:r>
      <w:r>
        <w:rPr>
          <w:rFonts w:cs="Arial"/>
          <w:sz w:val="24"/>
          <w:szCs w:val="24"/>
        </w:rPr>
        <w:t xml:space="preserve"> </w:t>
      </w:r>
      <w:r w:rsidR="00C75EAE">
        <w:rPr>
          <w:rFonts w:cs="Arial"/>
          <w:sz w:val="24"/>
          <w:szCs w:val="24"/>
        </w:rPr>
        <w:t>21</w:t>
      </w:r>
      <w:r w:rsidR="00702A21">
        <w:rPr>
          <w:rFonts w:cs="Arial"/>
          <w:sz w:val="24"/>
          <w:szCs w:val="24"/>
        </w:rPr>
        <w:t xml:space="preserve"> relevés</w:t>
      </w:r>
      <w:r>
        <w:rPr>
          <w:rFonts w:cs="Arial"/>
          <w:sz w:val="24"/>
          <w:szCs w:val="24"/>
        </w:rPr>
        <w:t xml:space="preserve"> </w:t>
      </w:r>
      <w:r w:rsidR="00702A21">
        <w:rPr>
          <w:rFonts w:cs="Arial"/>
          <w:sz w:val="24"/>
          <w:szCs w:val="24"/>
        </w:rPr>
        <w:t>type du</w:t>
      </w:r>
      <w:r>
        <w:rPr>
          <w:rFonts w:cs="Arial"/>
          <w:sz w:val="24"/>
          <w:szCs w:val="24"/>
        </w:rPr>
        <w:t xml:space="preserve"> catalogue des stations, par contre pour les </w:t>
      </w:r>
      <w:r w:rsidR="000613EC">
        <w:rPr>
          <w:rFonts w:cs="Arial"/>
          <w:sz w:val="24"/>
          <w:szCs w:val="24"/>
        </w:rPr>
        <w:t>336</w:t>
      </w:r>
      <w:r w:rsidR="00B12CB4">
        <w:rPr>
          <w:rFonts w:cs="Arial"/>
          <w:sz w:val="24"/>
          <w:szCs w:val="24"/>
        </w:rPr>
        <w:t xml:space="preserve"> autres qui ont été effectués </w:t>
      </w:r>
      <w:r w:rsidR="00702A21">
        <w:rPr>
          <w:rFonts w:cs="Arial"/>
          <w:sz w:val="24"/>
          <w:szCs w:val="24"/>
        </w:rPr>
        <w:t>pendant les saisons de végétation 1982 et</w:t>
      </w:r>
      <w:r w:rsidR="00B12CB4">
        <w:rPr>
          <w:rFonts w:cs="Arial"/>
          <w:sz w:val="24"/>
          <w:szCs w:val="24"/>
        </w:rPr>
        <w:t xml:space="preserve"> </w:t>
      </w:r>
      <w:r w:rsidR="00702A21">
        <w:rPr>
          <w:rFonts w:cs="Arial"/>
          <w:sz w:val="24"/>
          <w:szCs w:val="24"/>
        </w:rPr>
        <w:t xml:space="preserve">1983, </w:t>
      </w:r>
      <w:r w:rsidR="00B12CB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on ne la </w:t>
      </w:r>
      <w:r w:rsidR="00B12CB4">
        <w:rPr>
          <w:rFonts w:cs="Arial"/>
          <w:sz w:val="24"/>
          <w:szCs w:val="24"/>
        </w:rPr>
        <w:t>connaît pas. C’est pourquoi on a</w:t>
      </w:r>
      <w:r w:rsidR="00A06B33">
        <w:rPr>
          <w:rFonts w:cs="Arial"/>
          <w:sz w:val="24"/>
          <w:szCs w:val="24"/>
        </w:rPr>
        <w:t xml:space="preserve"> indiqué dans la base la date</w:t>
      </w:r>
      <w:r w:rsidR="00B12CB4">
        <w:rPr>
          <w:rFonts w:cs="Arial"/>
          <w:sz w:val="24"/>
          <w:szCs w:val="24"/>
        </w:rPr>
        <w:t xml:space="preserve"> moyenne de cette période : le</w:t>
      </w:r>
      <w:r>
        <w:rPr>
          <w:rFonts w:cs="Arial"/>
          <w:sz w:val="24"/>
          <w:szCs w:val="24"/>
        </w:rPr>
        <w:t xml:space="preserve"> </w:t>
      </w:r>
      <w:r w:rsidR="00702A21">
        <w:rPr>
          <w:rFonts w:cs="Arial"/>
          <w:sz w:val="24"/>
          <w:szCs w:val="24"/>
        </w:rPr>
        <w:t>12 janvier</w:t>
      </w:r>
      <w:r w:rsidR="00A06B33">
        <w:rPr>
          <w:rFonts w:cs="Arial"/>
          <w:sz w:val="24"/>
          <w:szCs w:val="24"/>
        </w:rPr>
        <w:t xml:space="preserve"> 1983</w:t>
      </w:r>
      <w:r w:rsidR="005048AB">
        <w:rPr>
          <w:rFonts w:cs="Arial"/>
          <w:sz w:val="24"/>
          <w:szCs w:val="24"/>
        </w:rPr>
        <w:t xml:space="preserve"> et une incertitude correspo</w:t>
      </w:r>
      <w:r w:rsidR="00702A21">
        <w:rPr>
          <w:rFonts w:cs="Arial"/>
          <w:sz w:val="24"/>
          <w:szCs w:val="24"/>
        </w:rPr>
        <w:t>ndant à la plage de relevé : 518</w:t>
      </w:r>
      <w:r w:rsidR="005048AB">
        <w:rPr>
          <w:rFonts w:cs="Arial"/>
          <w:sz w:val="24"/>
          <w:szCs w:val="24"/>
        </w:rPr>
        <w:t xml:space="preserve"> jours</w:t>
      </w:r>
      <w:r w:rsidR="00E36C3F">
        <w:rPr>
          <w:rFonts w:cs="Arial"/>
          <w:sz w:val="24"/>
          <w:szCs w:val="24"/>
        </w:rPr>
        <w:t>.</w:t>
      </w:r>
    </w:p>
    <w:p w:rsidR="005236A8" w:rsidRPr="0005282B" w:rsidRDefault="005236A8" w:rsidP="005236A8">
      <w:pPr>
        <w:numPr>
          <w:ilvl w:val="0"/>
          <w:numId w:val="4"/>
        </w:numPr>
        <w:contextualSpacing/>
        <w:jc w:val="both"/>
        <w:rPr>
          <w:rFonts w:cs="Arial"/>
          <w:sz w:val="24"/>
          <w:szCs w:val="24"/>
        </w:rPr>
      </w:pPr>
      <w:r w:rsidRPr="0005282B">
        <w:rPr>
          <w:rFonts w:cs="Arial"/>
          <w:sz w:val="24"/>
          <w:szCs w:val="24"/>
        </w:rPr>
        <w:t xml:space="preserve">strates utilisées : </w:t>
      </w:r>
    </w:p>
    <w:tbl>
      <w:tblPr>
        <w:tblW w:w="0" w:type="auto"/>
        <w:tblInd w:w="1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5350"/>
        <w:gridCol w:w="690"/>
      </w:tblGrid>
      <w:tr w:rsidR="005236A8" w:rsidRPr="0005282B" w:rsidTr="005236A8">
        <w:tc>
          <w:tcPr>
            <w:tcW w:w="0" w:type="auto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Intitulé strate</w:t>
            </w:r>
          </w:p>
        </w:tc>
        <w:tc>
          <w:tcPr>
            <w:tcW w:w="0" w:type="auto"/>
            <w:shd w:val="clear" w:color="auto" w:fill="auto"/>
          </w:tcPr>
          <w:p w:rsidR="005236A8" w:rsidRPr="0005282B" w:rsidRDefault="005236A8" w:rsidP="005236A8">
            <w:pPr>
              <w:jc w:val="center"/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définition</w:t>
            </w:r>
          </w:p>
        </w:tc>
        <w:tc>
          <w:tcPr>
            <w:tcW w:w="0" w:type="auto"/>
            <w:shd w:val="clear" w:color="auto" w:fill="auto"/>
          </w:tcPr>
          <w:p w:rsidR="005236A8" w:rsidRPr="0005282B" w:rsidRDefault="005236A8" w:rsidP="005236A8">
            <w:pPr>
              <w:jc w:val="center"/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code</w:t>
            </w:r>
          </w:p>
        </w:tc>
      </w:tr>
      <w:tr w:rsidR="005236A8" w:rsidRPr="0005282B" w:rsidTr="005236A8">
        <w:tc>
          <w:tcPr>
            <w:tcW w:w="0" w:type="auto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arborescente</w:t>
            </w:r>
          </w:p>
        </w:tc>
        <w:tc>
          <w:tcPr>
            <w:tcW w:w="0" w:type="auto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Ligneux</w:t>
            </w:r>
            <w:r w:rsidR="00CB0213">
              <w:rPr>
                <w:rFonts w:cs="Arial"/>
                <w:sz w:val="24"/>
                <w:szCs w:val="24"/>
              </w:rPr>
              <w:t xml:space="preserve"> </w:t>
            </w:r>
            <w:r w:rsidRPr="0005282B">
              <w:rPr>
                <w:rFonts w:cs="Arial"/>
                <w:sz w:val="24"/>
                <w:szCs w:val="24"/>
              </w:rPr>
              <w:t>&gt;</w:t>
            </w:r>
            <w:r w:rsidR="00CB0213">
              <w:rPr>
                <w:rFonts w:cs="Arial"/>
                <w:sz w:val="24"/>
                <w:szCs w:val="24"/>
              </w:rPr>
              <w:t xml:space="preserve"> </w:t>
            </w:r>
            <w:r w:rsidRPr="0005282B">
              <w:rPr>
                <w:rFonts w:cs="Arial"/>
                <w:sz w:val="24"/>
                <w:szCs w:val="24"/>
              </w:rPr>
              <w:t>7m</w:t>
            </w:r>
          </w:p>
        </w:tc>
        <w:tc>
          <w:tcPr>
            <w:tcW w:w="0" w:type="auto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A</w:t>
            </w:r>
          </w:p>
        </w:tc>
      </w:tr>
      <w:tr w:rsidR="005236A8" w:rsidRPr="0005282B" w:rsidTr="005236A8">
        <w:tc>
          <w:tcPr>
            <w:tcW w:w="0" w:type="auto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arbustive</w:t>
            </w:r>
          </w:p>
        </w:tc>
        <w:tc>
          <w:tcPr>
            <w:tcW w:w="0" w:type="auto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Ligneux &gt; 50cm et &lt; 7m</w:t>
            </w:r>
          </w:p>
        </w:tc>
        <w:tc>
          <w:tcPr>
            <w:tcW w:w="0" w:type="auto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a</w:t>
            </w:r>
          </w:p>
        </w:tc>
      </w:tr>
      <w:tr w:rsidR="005236A8" w:rsidRPr="0005282B" w:rsidTr="005236A8">
        <w:tc>
          <w:tcPr>
            <w:tcW w:w="0" w:type="auto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herbacée</w:t>
            </w:r>
          </w:p>
        </w:tc>
        <w:tc>
          <w:tcPr>
            <w:tcW w:w="0" w:type="auto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Ligneux</w:t>
            </w:r>
            <w:r w:rsidR="00CB0213">
              <w:rPr>
                <w:rFonts w:cs="Arial"/>
                <w:sz w:val="24"/>
                <w:szCs w:val="24"/>
              </w:rPr>
              <w:t xml:space="preserve"> </w:t>
            </w:r>
            <w:r w:rsidRPr="0005282B">
              <w:rPr>
                <w:rFonts w:cs="Arial"/>
                <w:sz w:val="24"/>
                <w:szCs w:val="24"/>
              </w:rPr>
              <w:t>&lt;</w:t>
            </w:r>
            <w:r w:rsidR="00CB0213">
              <w:rPr>
                <w:rFonts w:cs="Arial"/>
                <w:sz w:val="24"/>
                <w:szCs w:val="24"/>
              </w:rPr>
              <w:t xml:space="preserve"> </w:t>
            </w:r>
            <w:r w:rsidRPr="0005282B">
              <w:rPr>
                <w:rFonts w:cs="Arial"/>
                <w:sz w:val="24"/>
                <w:szCs w:val="24"/>
              </w:rPr>
              <w:t>50 cm et herbacées de toutes hauteurs</w:t>
            </w:r>
          </w:p>
        </w:tc>
        <w:tc>
          <w:tcPr>
            <w:tcW w:w="0" w:type="auto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h</w:t>
            </w:r>
          </w:p>
        </w:tc>
      </w:tr>
      <w:tr w:rsidR="005236A8" w:rsidRPr="0005282B" w:rsidTr="005236A8">
        <w:tc>
          <w:tcPr>
            <w:tcW w:w="0" w:type="auto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germinations</w:t>
            </w:r>
          </w:p>
        </w:tc>
        <w:tc>
          <w:tcPr>
            <w:tcW w:w="0" w:type="auto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Plantules de ligneux de l’année</w:t>
            </w:r>
          </w:p>
        </w:tc>
        <w:tc>
          <w:tcPr>
            <w:tcW w:w="0" w:type="auto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g</w:t>
            </w:r>
          </w:p>
        </w:tc>
      </w:tr>
      <w:tr w:rsidR="005236A8" w:rsidRPr="0005282B" w:rsidTr="005236A8">
        <w:tc>
          <w:tcPr>
            <w:tcW w:w="0" w:type="auto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mousse</w:t>
            </w:r>
          </w:p>
        </w:tc>
        <w:tc>
          <w:tcPr>
            <w:tcW w:w="0" w:type="auto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proofErr w:type="spellStart"/>
            <w:r w:rsidRPr="0005282B">
              <w:rPr>
                <w:rFonts w:cs="Arial"/>
                <w:sz w:val="24"/>
                <w:szCs w:val="24"/>
              </w:rPr>
              <w:t>Hepaticophyta</w:t>
            </w:r>
            <w:proofErr w:type="spellEnd"/>
            <w:r w:rsidRPr="0005282B">
              <w:rPr>
                <w:rFonts w:cs="Arial"/>
                <w:sz w:val="24"/>
                <w:szCs w:val="24"/>
              </w:rPr>
              <w:t xml:space="preserve"> et </w:t>
            </w:r>
            <w:proofErr w:type="spellStart"/>
            <w:r w:rsidRPr="0005282B">
              <w:rPr>
                <w:rFonts w:cs="Arial"/>
                <w:sz w:val="24"/>
                <w:szCs w:val="24"/>
              </w:rPr>
              <w:t>Bryophyta</w:t>
            </w:r>
            <w:proofErr w:type="spellEnd"/>
            <w:r w:rsidRPr="0005282B">
              <w:rPr>
                <w:rFonts w:cs="Arial"/>
                <w:sz w:val="24"/>
                <w:szCs w:val="24"/>
              </w:rPr>
              <w:t xml:space="preserve"> humicole</w:t>
            </w:r>
          </w:p>
        </w:tc>
        <w:tc>
          <w:tcPr>
            <w:tcW w:w="0" w:type="auto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m</w:t>
            </w:r>
          </w:p>
        </w:tc>
      </w:tr>
      <w:tr w:rsidR="000613EC" w:rsidRPr="0005282B" w:rsidTr="005236A8">
        <w:tc>
          <w:tcPr>
            <w:tcW w:w="0" w:type="auto"/>
            <w:shd w:val="clear" w:color="auto" w:fill="auto"/>
          </w:tcPr>
          <w:p w:rsidR="000613EC" w:rsidRPr="0005282B" w:rsidRDefault="000613EC" w:rsidP="005236A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indéterminée</w:t>
            </w:r>
          </w:p>
        </w:tc>
        <w:tc>
          <w:tcPr>
            <w:tcW w:w="0" w:type="auto"/>
            <w:shd w:val="clear" w:color="auto" w:fill="auto"/>
          </w:tcPr>
          <w:p w:rsidR="000613EC" w:rsidRPr="0005282B" w:rsidRDefault="000613EC" w:rsidP="005236A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Ligneux pouvant se trouver dans n’importe quelle strate</w:t>
            </w:r>
          </w:p>
        </w:tc>
        <w:tc>
          <w:tcPr>
            <w:tcW w:w="0" w:type="auto"/>
            <w:shd w:val="clear" w:color="auto" w:fill="auto"/>
          </w:tcPr>
          <w:p w:rsidR="000613EC" w:rsidRPr="0005282B" w:rsidRDefault="00E75358" w:rsidP="005236A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?</w:t>
            </w:r>
          </w:p>
        </w:tc>
      </w:tr>
    </w:tbl>
    <w:p w:rsidR="005236A8" w:rsidRPr="0005282B" w:rsidRDefault="005236A8" w:rsidP="005236A8">
      <w:pPr>
        <w:ind w:left="2136"/>
        <w:jc w:val="both"/>
        <w:rPr>
          <w:rFonts w:cs="Arial"/>
          <w:sz w:val="24"/>
          <w:szCs w:val="24"/>
        </w:rPr>
      </w:pPr>
    </w:p>
    <w:p w:rsidR="005236A8" w:rsidRPr="0005282B" w:rsidRDefault="005236A8" w:rsidP="005236A8">
      <w:pPr>
        <w:numPr>
          <w:ilvl w:val="0"/>
          <w:numId w:val="4"/>
        </w:numPr>
        <w:contextualSpacing/>
        <w:jc w:val="both"/>
        <w:rPr>
          <w:rFonts w:cs="Arial"/>
          <w:sz w:val="24"/>
          <w:szCs w:val="24"/>
        </w:rPr>
      </w:pPr>
      <w:r w:rsidRPr="0005282B">
        <w:rPr>
          <w:rFonts w:cs="Arial"/>
          <w:sz w:val="24"/>
          <w:szCs w:val="24"/>
        </w:rPr>
        <w:t>coefficient</w:t>
      </w:r>
      <w:r w:rsidR="00284C99">
        <w:rPr>
          <w:rFonts w:cs="Arial"/>
          <w:sz w:val="24"/>
          <w:szCs w:val="24"/>
        </w:rPr>
        <w:t xml:space="preserve">s utilisés </w:t>
      </w:r>
      <w:r w:rsidRPr="0005282B">
        <w:rPr>
          <w:rFonts w:cs="Arial"/>
          <w:sz w:val="24"/>
          <w:szCs w:val="24"/>
        </w:rPr>
        <w:t xml:space="preserve">: 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6906"/>
      </w:tblGrid>
      <w:tr w:rsidR="005236A8" w:rsidRPr="0005282B" w:rsidTr="00284C99">
        <w:tc>
          <w:tcPr>
            <w:tcW w:w="1248" w:type="dxa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coefficient</w:t>
            </w:r>
          </w:p>
        </w:tc>
        <w:tc>
          <w:tcPr>
            <w:tcW w:w="6906" w:type="dxa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définition</w:t>
            </w:r>
          </w:p>
        </w:tc>
      </w:tr>
      <w:tr w:rsidR="005236A8" w:rsidRPr="0005282B" w:rsidTr="00284C99">
        <w:tc>
          <w:tcPr>
            <w:tcW w:w="1248" w:type="dxa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+</w:t>
            </w:r>
          </w:p>
        </w:tc>
        <w:tc>
          <w:tcPr>
            <w:tcW w:w="6906" w:type="dxa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Espèce rare que l’on peut éventuellement manquer.</w:t>
            </w:r>
          </w:p>
        </w:tc>
      </w:tr>
      <w:tr w:rsidR="005236A8" w:rsidRPr="0005282B" w:rsidTr="00284C99">
        <w:tc>
          <w:tcPr>
            <w:tcW w:w="1248" w:type="dxa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6906" w:type="dxa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Espèce de recouvrement &lt; 5% de la surface du relevé et que l’on ne peut pas manquer.</w:t>
            </w:r>
          </w:p>
        </w:tc>
      </w:tr>
      <w:tr w:rsidR="005236A8" w:rsidRPr="0005282B" w:rsidTr="00284C99">
        <w:tc>
          <w:tcPr>
            <w:tcW w:w="1248" w:type="dxa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6906" w:type="dxa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 xml:space="preserve">Espèce très abondante couvrant moins de 5% de la surface, ou </w:t>
            </w:r>
            <w:r w:rsidRPr="0005282B">
              <w:rPr>
                <w:rFonts w:cs="Arial"/>
                <w:sz w:val="24"/>
                <w:szCs w:val="24"/>
              </w:rPr>
              <w:lastRenderedPageBreak/>
              <w:t>couvrant entre 5 et 25 % de la surface du relevé</w:t>
            </w:r>
          </w:p>
        </w:tc>
      </w:tr>
      <w:tr w:rsidR="005236A8" w:rsidRPr="0005282B" w:rsidTr="00284C99">
        <w:tc>
          <w:tcPr>
            <w:tcW w:w="1248" w:type="dxa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6906" w:type="dxa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Espèce couvrant entre 25 et 50% de la surface du relevé</w:t>
            </w:r>
          </w:p>
        </w:tc>
      </w:tr>
      <w:tr w:rsidR="005236A8" w:rsidRPr="0005282B" w:rsidTr="00284C99">
        <w:tc>
          <w:tcPr>
            <w:tcW w:w="1248" w:type="dxa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6906" w:type="dxa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Espèce couvrant entre 50 et 75% de la surface du relevé</w:t>
            </w:r>
          </w:p>
        </w:tc>
      </w:tr>
      <w:tr w:rsidR="005236A8" w:rsidRPr="0005282B" w:rsidTr="00284C99">
        <w:tc>
          <w:tcPr>
            <w:tcW w:w="1248" w:type="dxa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6906" w:type="dxa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Espèce couvrant entre 75 et 100% de la surface du relevé</w:t>
            </w:r>
          </w:p>
        </w:tc>
      </w:tr>
    </w:tbl>
    <w:p w:rsidR="005236A8" w:rsidRPr="0005282B" w:rsidRDefault="005236A8" w:rsidP="005236A8">
      <w:pPr>
        <w:ind w:left="2136"/>
        <w:contextualSpacing/>
        <w:jc w:val="both"/>
        <w:rPr>
          <w:rFonts w:cs="Arial"/>
          <w:sz w:val="24"/>
          <w:szCs w:val="24"/>
        </w:rPr>
      </w:pPr>
    </w:p>
    <w:p w:rsidR="005236A8" w:rsidRPr="00953309" w:rsidRDefault="005236A8" w:rsidP="005236A8">
      <w:pPr>
        <w:ind w:left="2136"/>
        <w:contextualSpacing/>
        <w:jc w:val="both"/>
      </w:pPr>
    </w:p>
    <w:p w:rsidR="005236A8" w:rsidRPr="00953309" w:rsidRDefault="005236A8" w:rsidP="005236A8">
      <w:pPr>
        <w:ind w:left="708"/>
      </w:pPr>
    </w:p>
    <w:p w:rsidR="005236A8" w:rsidRPr="00DB28FB" w:rsidRDefault="005236A8" w:rsidP="005236A8">
      <w:pPr>
        <w:numPr>
          <w:ilvl w:val="0"/>
          <w:numId w:val="5"/>
        </w:numPr>
        <w:tabs>
          <w:tab w:val="left" w:pos="709"/>
        </w:tabs>
        <w:ind w:left="1276" w:hanging="283"/>
        <w:jc w:val="both"/>
        <w:rPr>
          <w:b/>
          <w:sz w:val="28"/>
          <w:szCs w:val="28"/>
          <w:u w:val="single"/>
        </w:rPr>
      </w:pPr>
      <w:r w:rsidRPr="00DB28FB">
        <w:rPr>
          <w:b/>
          <w:sz w:val="28"/>
          <w:szCs w:val="28"/>
          <w:u w:val="single"/>
        </w:rPr>
        <w:t>Pédologie :</w:t>
      </w:r>
    </w:p>
    <w:p w:rsidR="005236A8" w:rsidRDefault="005236A8" w:rsidP="005236A8">
      <w:pPr>
        <w:jc w:val="both"/>
      </w:pPr>
    </w:p>
    <w:p w:rsidR="005236A8" w:rsidRDefault="005236A8" w:rsidP="005236A8">
      <w:pPr>
        <w:jc w:val="both"/>
      </w:pPr>
    </w:p>
    <w:p w:rsidR="005236A8" w:rsidRDefault="005236A8" w:rsidP="005236A8">
      <w:pPr>
        <w:jc w:val="both"/>
      </w:pPr>
    </w:p>
    <w:p w:rsidR="005236A8" w:rsidRPr="00953309" w:rsidRDefault="005236A8" w:rsidP="005236A8">
      <w:pPr>
        <w:ind w:left="-851"/>
        <w:jc w:val="both"/>
      </w:pPr>
    </w:p>
    <w:p w:rsidR="005236A8" w:rsidRPr="00953309" w:rsidRDefault="005236A8" w:rsidP="005236A8">
      <w:pPr>
        <w:jc w:val="both"/>
      </w:pPr>
    </w:p>
    <w:p w:rsidR="005236A8" w:rsidRPr="00953309" w:rsidRDefault="005236A8" w:rsidP="005236A8">
      <w:pPr>
        <w:jc w:val="both"/>
      </w:pPr>
    </w:p>
    <w:p w:rsidR="005236A8" w:rsidRDefault="005236A8" w:rsidP="005236A8">
      <w:pPr>
        <w:ind w:firstLine="284"/>
        <w:jc w:val="both"/>
        <w:rPr>
          <w:b/>
          <w:u w:val="single"/>
        </w:rPr>
      </w:pPr>
      <w:r w:rsidRPr="00953309">
        <w:rPr>
          <w:b/>
          <w:u w:val="single"/>
        </w:rPr>
        <w:t xml:space="preserve">Publications : </w:t>
      </w:r>
    </w:p>
    <w:p w:rsidR="00A16F9C" w:rsidRPr="00FA17A1" w:rsidRDefault="00FA17A1" w:rsidP="00A16F9C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GIRAULT D.</w:t>
      </w:r>
      <w:r w:rsidR="00A16F9C" w:rsidRPr="00FA17A1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(</w:t>
      </w:r>
      <w:r w:rsidR="00A16F9C" w:rsidRPr="00FA17A1">
        <w:rPr>
          <w:rFonts w:cs="TimesNewRoman"/>
          <w:sz w:val="24"/>
          <w:szCs w:val="24"/>
        </w:rPr>
        <w:t>1985</w:t>
      </w:r>
      <w:r>
        <w:rPr>
          <w:rFonts w:cs="TimesNewRoman"/>
          <w:sz w:val="24"/>
          <w:szCs w:val="24"/>
        </w:rPr>
        <w:t>).</w:t>
      </w:r>
      <w:r w:rsidR="00A16F9C" w:rsidRPr="00FA17A1">
        <w:rPr>
          <w:rFonts w:cs="TimesNewRoman"/>
          <w:sz w:val="24"/>
          <w:szCs w:val="24"/>
        </w:rPr>
        <w:t xml:space="preserve"> Les stations forestières des Crêtes Pré-Ardennaises, DDAF des</w:t>
      </w:r>
    </w:p>
    <w:p w:rsidR="00FA17A1" w:rsidRDefault="00A16F9C" w:rsidP="00A16F9C">
      <w:pPr>
        <w:ind w:firstLine="284"/>
        <w:jc w:val="both"/>
        <w:rPr>
          <w:rFonts w:cs="TimesNewRoman"/>
          <w:sz w:val="24"/>
          <w:szCs w:val="24"/>
        </w:rPr>
      </w:pPr>
      <w:r w:rsidRPr="00FA17A1">
        <w:rPr>
          <w:rFonts w:cs="TimesNewRoman"/>
          <w:sz w:val="24"/>
          <w:szCs w:val="24"/>
        </w:rPr>
        <w:t>Ardennes, 103 p</w:t>
      </w:r>
    </w:p>
    <w:p w:rsidR="00FA17A1" w:rsidRDefault="00FA17A1" w:rsidP="00A16F9C">
      <w:pPr>
        <w:ind w:firstLine="284"/>
        <w:jc w:val="both"/>
        <w:rPr>
          <w:rFonts w:cs="TimesNewRoman"/>
          <w:sz w:val="24"/>
          <w:szCs w:val="24"/>
        </w:rPr>
      </w:pPr>
      <w:r w:rsidRPr="00FA17A1">
        <w:rPr>
          <w:rFonts w:cs="TimesNewRoman"/>
          <w:sz w:val="24"/>
          <w:szCs w:val="24"/>
        </w:rPr>
        <w:t>http://infodoc.agroparistech.fr/index.php?lvl=notice_display&amp;id=83430</w:t>
      </w:r>
    </w:p>
    <w:sectPr w:rsidR="00FA1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213EB"/>
    <w:multiLevelType w:val="hybridMultilevel"/>
    <w:tmpl w:val="B734DA74"/>
    <w:lvl w:ilvl="0" w:tplc="72AE0696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045C4"/>
    <w:multiLevelType w:val="hybridMultilevel"/>
    <w:tmpl w:val="C6C4E70E"/>
    <w:lvl w:ilvl="0" w:tplc="040C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236802AE"/>
    <w:multiLevelType w:val="hybridMultilevel"/>
    <w:tmpl w:val="0D804BA8"/>
    <w:lvl w:ilvl="0" w:tplc="72AE0696">
      <w:start w:val="1"/>
      <w:numFmt w:val="bullet"/>
      <w:lvlText w:val=""/>
      <w:lvlJc w:val="left"/>
      <w:pPr>
        <w:ind w:left="22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2A430CDA"/>
    <w:multiLevelType w:val="hybridMultilevel"/>
    <w:tmpl w:val="E290358A"/>
    <w:lvl w:ilvl="0" w:tplc="72AE0696">
      <w:start w:val="1"/>
      <w:numFmt w:val="bullet"/>
      <w:lvlText w:val="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378A616E"/>
    <w:multiLevelType w:val="hybridMultilevel"/>
    <w:tmpl w:val="70D62D08"/>
    <w:lvl w:ilvl="0" w:tplc="040C000D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71728836" w:tentative="1">
      <w:start w:val="1"/>
      <w:numFmt w:val="bullet"/>
      <w:lvlText w:val="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2" w:tplc="1C1CAFBE" w:tentative="1">
      <w:start w:val="1"/>
      <w:numFmt w:val="bullet"/>
      <w:lvlText w:val="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8CF06F58" w:tentative="1">
      <w:start w:val="1"/>
      <w:numFmt w:val="bullet"/>
      <w:lvlText w:val="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4" w:tplc="F746D13C" w:tentative="1">
      <w:start w:val="1"/>
      <w:numFmt w:val="bullet"/>
      <w:lvlText w:val="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5" w:tplc="8BBC5350" w:tentative="1">
      <w:start w:val="1"/>
      <w:numFmt w:val="bullet"/>
      <w:lvlText w:val="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ABCEB38E" w:tentative="1">
      <w:start w:val="1"/>
      <w:numFmt w:val="bullet"/>
      <w:lvlText w:val="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7" w:tplc="C532B0E8" w:tentative="1">
      <w:start w:val="1"/>
      <w:numFmt w:val="bullet"/>
      <w:lvlText w:val="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  <w:lvl w:ilvl="8" w:tplc="4274DE6E" w:tentative="1">
      <w:start w:val="1"/>
      <w:numFmt w:val="bullet"/>
      <w:lvlText w:val="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>
    <w:nsid w:val="3A7A0D94"/>
    <w:multiLevelType w:val="hybridMultilevel"/>
    <w:tmpl w:val="AC469826"/>
    <w:lvl w:ilvl="0" w:tplc="72AE069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6AD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74CC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00B4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E46D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EE7A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EF0337"/>
    <w:multiLevelType w:val="hybridMultilevel"/>
    <w:tmpl w:val="2076D82E"/>
    <w:lvl w:ilvl="0" w:tplc="040C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>
    <w:nsid w:val="42A73190"/>
    <w:multiLevelType w:val="hybridMultilevel"/>
    <w:tmpl w:val="5126705C"/>
    <w:lvl w:ilvl="0" w:tplc="72AE0696">
      <w:start w:val="1"/>
      <w:numFmt w:val="bullet"/>
      <w:lvlText w:val=""/>
      <w:lvlJc w:val="left"/>
      <w:pPr>
        <w:ind w:left="357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9" w:hanging="360"/>
      </w:pPr>
      <w:rPr>
        <w:rFonts w:ascii="Wingdings" w:hAnsi="Wingdings" w:hint="default"/>
      </w:rPr>
    </w:lvl>
  </w:abstractNum>
  <w:abstractNum w:abstractNumId="8">
    <w:nsid w:val="4E124A1E"/>
    <w:multiLevelType w:val="hybridMultilevel"/>
    <w:tmpl w:val="687A99EC"/>
    <w:lvl w:ilvl="0" w:tplc="040C000D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71728836" w:tentative="1">
      <w:start w:val="1"/>
      <w:numFmt w:val="bullet"/>
      <w:lvlText w:val="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2" w:tplc="1C1CAFBE" w:tentative="1">
      <w:start w:val="1"/>
      <w:numFmt w:val="bullet"/>
      <w:lvlText w:val="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8CF06F58" w:tentative="1">
      <w:start w:val="1"/>
      <w:numFmt w:val="bullet"/>
      <w:lvlText w:val="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4" w:tplc="F746D13C" w:tentative="1">
      <w:start w:val="1"/>
      <w:numFmt w:val="bullet"/>
      <w:lvlText w:val="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5" w:tplc="8BBC5350" w:tentative="1">
      <w:start w:val="1"/>
      <w:numFmt w:val="bullet"/>
      <w:lvlText w:val="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ABCEB38E" w:tentative="1">
      <w:start w:val="1"/>
      <w:numFmt w:val="bullet"/>
      <w:lvlText w:val="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7" w:tplc="C532B0E8" w:tentative="1">
      <w:start w:val="1"/>
      <w:numFmt w:val="bullet"/>
      <w:lvlText w:val="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  <w:lvl w:ilvl="8" w:tplc="4274DE6E" w:tentative="1">
      <w:start w:val="1"/>
      <w:numFmt w:val="bullet"/>
      <w:lvlText w:val="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>
    <w:nsid w:val="5238644F"/>
    <w:multiLevelType w:val="hybridMultilevel"/>
    <w:tmpl w:val="EA402098"/>
    <w:lvl w:ilvl="0" w:tplc="72AE0696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77"/>
    <w:rsid w:val="00013E25"/>
    <w:rsid w:val="00026C2B"/>
    <w:rsid w:val="0005282B"/>
    <w:rsid w:val="000613EC"/>
    <w:rsid w:val="000D78F5"/>
    <w:rsid w:val="00246F64"/>
    <w:rsid w:val="00284C99"/>
    <w:rsid w:val="002A01F6"/>
    <w:rsid w:val="002C66BA"/>
    <w:rsid w:val="003161FB"/>
    <w:rsid w:val="00403E25"/>
    <w:rsid w:val="00434709"/>
    <w:rsid w:val="00445887"/>
    <w:rsid w:val="00496A72"/>
    <w:rsid w:val="004E0E1F"/>
    <w:rsid w:val="004E2CB8"/>
    <w:rsid w:val="005048AB"/>
    <w:rsid w:val="005236A8"/>
    <w:rsid w:val="005B1DEA"/>
    <w:rsid w:val="005B3177"/>
    <w:rsid w:val="005F124F"/>
    <w:rsid w:val="006D3A66"/>
    <w:rsid w:val="006D7968"/>
    <w:rsid w:val="006D7BA5"/>
    <w:rsid w:val="00702A21"/>
    <w:rsid w:val="00723231"/>
    <w:rsid w:val="00740F30"/>
    <w:rsid w:val="00751D19"/>
    <w:rsid w:val="00791F67"/>
    <w:rsid w:val="007F7CFC"/>
    <w:rsid w:val="0083096F"/>
    <w:rsid w:val="00843857"/>
    <w:rsid w:val="00881BF1"/>
    <w:rsid w:val="008A7694"/>
    <w:rsid w:val="00922E76"/>
    <w:rsid w:val="0093789A"/>
    <w:rsid w:val="009561C9"/>
    <w:rsid w:val="00A05C18"/>
    <w:rsid w:val="00A06B33"/>
    <w:rsid w:val="00A16F9C"/>
    <w:rsid w:val="00AD11A3"/>
    <w:rsid w:val="00B12CB4"/>
    <w:rsid w:val="00B45461"/>
    <w:rsid w:val="00BB50B7"/>
    <w:rsid w:val="00C25169"/>
    <w:rsid w:val="00C75EAE"/>
    <w:rsid w:val="00CA237E"/>
    <w:rsid w:val="00CB0213"/>
    <w:rsid w:val="00CD5A74"/>
    <w:rsid w:val="00CF46B7"/>
    <w:rsid w:val="00D07DB4"/>
    <w:rsid w:val="00D37A7C"/>
    <w:rsid w:val="00D64DA1"/>
    <w:rsid w:val="00E36C3F"/>
    <w:rsid w:val="00E613AD"/>
    <w:rsid w:val="00E75358"/>
    <w:rsid w:val="00F23998"/>
    <w:rsid w:val="00F4284F"/>
    <w:rsid w:val="00FA17A1"/>
    <w:rsid w:val="00FD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23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236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36A8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36A8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23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236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36A8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36A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4</Pages>
  <Words>679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fgeremia</dc:creator>
  <cp:lastModifiedBy>fgeremia</cp:lastModifiedBy>
  <cp:revision>37</cp:revision>
  <dcterms:created xsi:type="dcterms:W3CDTF">2015-03-30T13:09:00Z</dcterms:created>
  <dcterms:modified xsi:type="dcterms:W3CDTF">2017-09-07T09:36:00Z</dcterms:modified>
</cp:coreProperties>
</file>