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87" w:rsidRDefault="00445887"/>
    <w:p w:rsidR="00445887" w:rsidRDefault="00445887"/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Nom pour BDD:</w:t>
      </w:r>
    </w:p>
    <w:p w:rsidR="005236A8" w:rsidRDefault="005236A8" w:rsidP="005236A8">
      <w:pPr>
        <w:jc w:val="both"/>
        <w:rPr>
          <w:b/>
          <w:u w:val="single"/>
        </w:rPr>
      </w:pPr>
    </w:p>
    <w:p w:rsidR="005236A8" w:rsidRPr="006D7BA5" w:rsidRDefault="005236A8" w:rsidP="005236A8">
      <w:pPr>
        <w:numPr>
          <w:ilvl w:val="0"/>
          <w:numId w:val="7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 w:rsidRPr="006D7BA5">
        <w:rPr>
          <w:sz w:val="24"/>
          <w:szCs w:val="24"/>
        </w:rPr>
        <w:t xml:space="preserve">Stations </w:t>
      </w:r>
      <w:r w:rsidR="0062268D">
        <w:rPr>
          <w:sz w:val="24"/>
          <w:szCs w:val="24"/>
        </w:rPr>
        <w:t>FD de la Montagne</w:t>
      </w:r>
    </w:p>
    <w:p w:rsidR="005236A8" w:rsidRPr="006D7BA5" w:rsidRDefault="005236A8" w:rsidP="005236A8">
      <w:pPr>
        <w:ind w:left="1425"/>
        <w:jc w:val="both"/>
        <w:rPr>
          <w:sz w:val="24"/>
          <w:szCs w:val="24"/>
        </w:rPr>
      </w:pPr>
    </w:p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Nom complet :</w:t>
      </w:r>
    </w:p>
    <w:p w:rsidR="005236A8" w:rsidRDefault="005236A8" w:rsidP="005236A8">
      <w:pPr>
        <w:jc w:val="both"/>
        <w:rPr>
          <w:b/>
          <w:u w:val="single"/>
        </w:rPr>
      </w:pPr>
    </w:p>
    <w:p w:rsidR="005236A8" w:rsidRPr="006D7BA5" w:rsidRDefault="00C712A1" w:rsidP="005236A8">
      <w:pPr>
        <w:numPr>
          <w:ilvl w:val="0"/>
          <w:numId w:val="7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Contribution à la mise au point d’une méthode de cartographie des stations forestières. Application à la forêt de la Montagne (côtes de Meuse).</w:t>
      </w:r>
    </w:p>
    <w:p w:rsidR="005236A8" w:rsidRPr="006D7BA5" w:rsidRDefault="005236A8" w:rsidP="005236A8">
      <w:pPr>
        <w:jc w:val="both"/>
        <w:rPr>
          <w:b/>
          <w:sz w:val="24"/>
          <w:szCs w:val="24"/>
          <w:u w:val="single"/>
        </w:rPr>
      </w:pPr>
    </w:p>
    <w:p w:rsidR="005236A8" w:rsidRPr="0005282B" w:rsidRDefault="005236A8" w:rsidP="0005282B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Abrégé :</w:t>
      </w:r>
    </w:p>
    <w:p w:rsidR="005236A8" w:rsidRPr="006D7BA5" w:rsidRDefault="0062268D" w:rsidP="005236A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FloMoSt</w:t>
      </w:r>
      <w:proofErr w:type="spellEnd"/>
    </w:p>
    <w:p w:rsidR="005236A8" w:rsidRPr="00953309" w:rsidRDefault="005236A8" w:rsidP="005236A8">
      <w:pPr>
        <w:jc w:val="both"/>
      </w:pPr>
    </w:p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Résumé :</w:t>
      </w:r>
    </w:p>
    <w:p w:rsidR="005236A8" w:rsidRPr="006D7BA5" w:rsidRDefault="000A4A8C" w:rsidP="005236A8">
      <w:pPr>
        <w:ind w:firstLine="28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Du 27 juillet au 19 septembre 1973, Alain </w:t>
      </w:r>
      <w:proofErr w:type="spellStart"/>
      <w:r>
        <w:rPr>
          <w:sz w:val="24"/>
          <w:szCs w:val="24"/>
        </w:rPr>
        <w:t>Nussbaum</w:t>
      </w:r>
      <w:proofErr w:type="spellEnd"/>
      <w:r w:rsidR="00922E76">
        <w:rPr>
          <w:sz w:val="24"/>
          <w:szCs w:val="24"/>
        </w:rPr>
        <w:t xml:space="preserve"> a effectué </w:t>
      </w:r>
      <w:r>
        <w:rPr>
          <w:sz w:val="24"/>
          <w:szCs w:val="24"/>
        </w:rPr>
        <w:t>233</w:t>
      </w:r>
      <w:r w:rsidR="0093789A">
        <w:rPr>
          <w:sz w:val="24"/>
          <w:szCs w:val="24"/>
        </w:rPr>
        <w:t xml:space="preserve"> </w:t>
      </w:r>
      <w:r w:rsidR="005236A8" w:rsidRPr="006D7BA5">
        <w:rPr>
          <w:sz w:val="24"/>
          <w:szCs w:val="24"/>
        </w:rPr>
        <w:t>relevés</w:t>
      </w:r>
      <w:r w:rsidR="0093789A">
        <w:rPr>
          <w:sz w:val="24"/>
          <w:szCs w:val="24"/>
        </w:rPr>
        <w:t xml:space="preserve"> dans l</w:t>
      </w:r>
      <w:r>
        <w:rPr>
          <w:sz w:val="24"/>
          <w:szCs w:val="24"/>
        </w:rPr>
        <w:t>a</w:t>
      </w:r>
      <w:r w:rsidR="005236A8" w:rsidRPr="006D7BA5">
        <w:rPr>
          <w:sz w:val="24"/>
          <w:szCs w:val="24"/>
        </w:rPr>
        <w:t xml:space="preserve"> fo</w:t>
      </w:r>
      <w:r>
        <w:rPr>
          <w:sz w:val="24"/>
          <w:szCs w:val="24"/>
        </w:rPr>
        <w:t>rêt domaniale de la Montagne</w:t>
      </w:r>
      <w:r w:rsidR="00440C12">
        <w:rPr>
          <w:sz w:val="24"/>
          <w:szCs w:val="24"/>
        </w:rPr>
        <w:t xml:space="preserve">. </w:t>
      </w:r>
      <w:r w:rsidR="0093789A">
        <w:rPr>
          <w:sz w:val="24"/>
          <w:szCs w:val="24"/>
        </w:rPr>
        <w:t>Chaque relevé comporte des observations sur la flore (liste, par strate, des espèces végétales rencontrées</w:t>
      </w:r>
      <w:r w:rsidR="00C712A1">
        <w:rPr>
          <w:sz w:val="24"/>
          <w:szCs w:val="24"/>
        </w:rPr>
        <w:t xml:space="preserve"> affectées de leur coefficient d’abondance-dominance</w:t>
      </w:r>
      <w:r w:rsidR="0093789A">
        <w:rPr>
          <w:sz w:val="24"/>
          <w:szCs w:val="24"/>
        </w:rPr>
        <w:t>),</w:t>
      </w:r>
      <w:r w:rsidR="008A7694">
        <w:rPr>
          <w:sz w:val="24"/>
          <w:szCs w:val="24"/>
        </w:rPr>
        <w:t xml:space="preserve"> le sol (sondage pédologique), la localisation topographique, la nature du peuplement. Leur analyse lui a</w:t>
      </w:r>
      <w:r w:rsidR="005236A8" w:rsidRPr="006D7BA5">
        <w:rPr>
          <w:sz w:val="24"/>
          <w:szCs w:val="24"/>
        </w:rPr>
        <w:t xml:space="preserve"> permis </w:t>
      </w:r>
      <w:r w:rsidR="00496A72" w:rsidRPr="006D7BA5">
        <w:rPr>
          <w:sz w:val="24"/>
          <w:szCs w:val="24"/>
        </w:rPr>
        <w:t>de publier en mai 1985 le catalogue des stations forestières de cette région</w:t>
      </w:r>
      <w:r w:rsidR="00C712A1">
        <w:rPr>
          <w:sz w:val="24"/>
          <w:szCs w:val="24"/>
        </w:rPr>
        <w:t>.</w:t>
      </w:r>
    </w:p>
    <w:p w:rsidR="005236A8" w:rsidRPr="00FD4E36" w:rsidRDefault="005236A8" w:rsidP="00FD4E36">
      <w:pPr>
        <w:ind w:firstLine="360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 xml:space="preserve">Objectifs : </w:t>
      </w:r>
    </w:p>
    <w:p w:rsidR="005236A8" w:rsidRPr="006D7BA5" w:rsidRDefault="0005282B" w:rsidP="00496A72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Inventorier l</w:t>
      </w:r>
      <w:r w:rsidR="00440C1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40C12">
        <w:rPr>
          <w:sz w:val="24"/>
          <w:szCs w:val="24"/>
        </w:rPr>
        <w:t>Forêt Domaniale de la Montagne</w:t>
      </w:r>
      <w:r w:rsidR="00A16F9C">
        <w:rPr>
          <w:sz w:val="24"/>
          <w:szCs w:val="24"/>
        </w:rPr>
        <w:t xml:space="preserve"> </w:t>
      </w:r>
      <w:r>
        <w:rPr>
          <w:sz w:val="24"/>
          <w:szCs w:val="24"/>
        </w:rPr>
        <w:t>pour en définir les types de station et leurs potentialités.</w:t>
      </w:r>
    </w:p>
    <w:p w:rsidR="005236A8" w:rsidRPr="00FD4E36" w:rsidRDefault="005236A8" w:rsidP="00FD4E36">
      <w:pPr>
        <w:ind w:firstLine="284"/>
        <w:jc w:val="both"/>
        <w:rPr>
          <w:b/>
          <w:sz w:val="28"/>
          <w:szCs w:val="28"/>
          <w:u w:val="single"/>
        </w:rPr>
      </w:pPr>
      <w:r w:rsidRPr="0005282B">
        <w:rPr>
          <w:b/>
          <w:sz w:val="28"/>
          <w:szCs w:val="28"/>
          <w:u w:val="single"/>
        </w:rPr>
        <w:t>Protocole de prélèvement et d’observation :</w:t>
      </w:r>
    </w:p>
    <w:p w:rsidR="005236A8" w:rsidRPr="00953309" w:rsidRDefault="005236A8" w:rsidP="005236A8">
      <w:pPr>
        <w:jc w:val="both"/>
      </w:pPr>
    </w:p>
    <w:p w:rsidR="005236A8" w:rsidRPr="005B1DEA" w:rsidRDefault="005236A8" w:rsidP="0005282B">
      <w:pPr>
        <w:numPr>
          <w:ilvl w:val="1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34642">
        <w:rPr>
          <w:b/>
          <w:sz w:val="28"/>
          <w:szCs w:val="28"/>
          <w:u w:val="single"/>
        </w:rPr>
        <w:t>Fichier Placettes :</w:t>
      </w:r>
      <w:r w:rsidRPr="00334642">
        <w:t xml:space="preserve"> </w:t>
      </w:r>
      <w:r w:rsidRPr="006D7BA5">
        <w:rPr>
          <w:sz w:val="24"/>
          <w:szCs w:val="24"/>
        </w:rPr>
        <w:t>(</w:t>
      </w:r>
      <w:r w:rsidR="0005282B">
        <w:rPr>
          <w:sz w:val="24"/>
          <w:szCs w:val="24"/>
        </w:rPr>
        <w:t>FloCpaSt</w:t>
      </w:r>
      <w:r w:rsidRPr="006D7BA5">
        <w:rPr>
          <w:sz w:val="24"/>
          <w:szCs w:val="24"/>
        </w:rPr>
        <w:t>_placettes_pour_BDD.xlsx)</w:t>
      </w:r>
    </w:p>
    <w:p w:rsidR="005B1DEA" w:rsidRPr="006D7BA5" w:rsidRDefault="005B1DEA" w:rsidP="005B1DEA">
      <w:pPr>
        <w:spacing w:after="0" w:line="240" w:lineRule="auto"/>
        <w:ind w:left="1440"/>
        <w:rPr>
          <w:sz w:val="24"/>
          <w:szCs w:val="24"/>
          <w:u w:val="single"/>
        </w:rPr>
      </w:pPr>
    </w:p>
    <w:p w:rsidR="005236A8" w:rsidRPr="00AD11A3" w:rsidRDefault="005236A8" w:rsidP="005236A8">
      <w:pPr>
        <w:rPr>
          <w:sz w:val="24"/>
          <w:szCs w:val="24"/>
          <w:u w:val="single"/>
        </w:rPr>
      </w:pPr>
    </w:p>
    <w:p w:rsidR="005236A8" w:rsidRPr="00834DF4" w:rsidRDefault="008E19CD" w:rsidP="00834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total de 229 placettes </w:t>
      </w:r>
      <w:r w:rsidR="00834DF4">
        <w:rPr>
          <w:sz w:val="24"/>
          <w:szCs w:val="24"/>
        </w:rPr>
        <w:t>a été choisi</w:t>
      </w:r>
      <w:r>
        <w:rPr>
          <w:sz w:val="24"/>
          <w:szCs w:val="24"/>
        </w:rPr>
        <w:t xml:space="preserve"> </w:t>
      </w:r>
      <w:r w:rsidR="00170494">
        <w:rPr>
          <w:sz w:val="24"/>
          <w:szCs w:val="24"/>
        </w:rPr>
        <w:t xml:space="preserve">sur un quadrillage systématique à maille carrée de 300m sur le plateau </w:t>
      </w:r>
      <w:r>
        <w:rPr>
          <w:sz w:val="24"/>
          <w:szCs w:val="24"/>
        </w:rPr>
        <w:t xml:space="preserve">(119 placettes) et </w:t>
      </w:r>
      <w:r w:rsidR="00170494">
        <w:rPr>
          <w:sz w:val="24"/>
          <w:szCs w:val="24"/>
        </w:rPr>
        <w:t xml:space="preserve">de 150 m dans les vallons qui couvrent ¼ de la </w:t>
      </w:r>
      <w:r w:rsidR="00170494">
        <w:rPr>
          <w:sz w:val="24"/>
          <w:szCs w:val="24"/>
        </w:rPr>
        <w:lastRenderedPageBreak/>
        <w:t>surface de la zone étudiée</w:t>
      </w:r>
      <w:r>
        <w:rPr>
          <w:sz w:val="24"/>
          <w:szCs w:val="24"/>
        </w:rPr>
        <w:t xml:space="preserve"> (110 placettes)</w:t>
      </w:r>
      <w:r w:rsidR="005B1DEA">
        <w:rPr>
          <w:sz w:val="24"/>
          <w:szCs w:val="24"/>
        </w:rPr>
        <w:t xml:space="preserve">. </w:t>
      </w:r>
      <w:r w:rsidR="008A7694">
        <w:rPr>
          <w:sz w:val="24"/>
          <w:szCs w:val="24"/>
        </w:rPr>
        <w:t xml:space="preserve">Pour la mise en base, </w:t>
      </w:r>
      <w:r w:rsidR="00791F67">
        <w:rPr>
          <w:sz w:val="24"/>
          <w:szCs w:val="24"/>
        </w:rPr>
        <w:t xml:space="preserve">sur les </w:t>
      </w:r>
      <w:r w:rsidR="00A574B7">
        <w:rPr>
          <w:sz w:val="24"/>
          <w:szCs w:val="24"/>
        </w:rPr>
        <w:t>2</w:t>
      </w:r>
      <w:r w:rsidR="00170494">
        <w:rPr>
          <w:sz w:val="24"/>
          <w:szCs w:val="24"/>
        </w:rPr>
        <w:t>29</w:t>
      </w:r>
      <w:r w:rsidR="00791F67">
        <w:rPr>
          <w:sz w:val="24"/>
          <w:szCs w:val="24"/>
        </w:rPr>
        <w:t xml:space="preserve"> placettes, </w:t>
      </w:r>
      <w:r w:rsidR="00A574B7">
        <w:rPr>
          <w:sz w:val="24"/>
          <w:szCs w:val="24"/>
        </w:rPr>
        <w:t>2</w:t>
      </w:r>
      <w:r w:rsidR="00170494">
        <w:rPr>
          <w:sz w:val="24"/>
          <w:szCs w:val="24"/>
        </w:rPr>
        <w:t>19</w:t>
      </w:r>
      <w:r w:rsidR="00791F67">
        <w:rPr>
          <w:sz w:val="24"/>
          <w:szCs w:val="24"/>
        </w:rPr>
        <w:t xml:space="preserve"> </w:t>
      </w:r>
      <w:r w:rsidR="00AD11A3" w:rsidRPr="00AD11A3">
        <w:rPr>
          <w:sz w:val="24"/>
          <w:szCs w:val="24"/>
        </w:rPr>
        <w:t xml:space="preserve">ont pu être </w:t>
      </w:r>
      <w:r w:rsidR="005B1DEA">
        <w:rPr>
          <w:sz w:val="24"/>
          <w:szCs w:val="24"/>
        </w:rPr>
        <w:t xml:space="preserve">géo-référencées </w:t>
      </w:r>
      <w:r w:rsidR="00AD11A3" w:rsidRPr="00AD11A3">
        <w:rPr>
          <w:sz w:val="24"/>
          <w:szCs w:val="24"/>
        </w:rPr>
        <w:t xml:space="preserve">à partir </w:t>
      </w:r>
      <w:r w:rsidR="00A574B7">
        <w:rPr>
          <w:sz w:val="24"/>
          <w:szCs w:val="24"/>
        </w:rPr>
        <w:t xml:space="preserve">du plan au 1/10 </w:t>
      </w:r>
      <w:r w:rsidR="00AD11A3" w:rsidRPr="00AD11A3">
        <w:rPr>
          <w:sz w:val="24"/>
          <w:szCs w:val="24"/>
        </w:rPr>
        <w:t>000</w:t>
      </w:r>
      <w:r w:rsidR="005B1DEA">
        <w:rPr>
          <w:sz w:val="24"/>
          <w:szCs w:val="24"/>
        </w:rPr>
        <w:t xml:space="preserve"> qui </w:t>
      </w:r>
      <w:r w:rsidR="00A574B7">
        <w:rPr>
          <w:sz w:val="24"/>
          <w:szCs w:val="24"/>
        </w:rPr>
        <w:t>a été utilisé</w:t>
      </w:r>
      <w:r w:rsidR="005B1DEA">
        <w:rPr>
          <w:sz w:val="24"/>
          <w:szCs w:val="24"/>
        </w:rPr>
        <w:t xml:space="preserve"> pour la campagne de terrain.</w:t>
      </w:r>
    </w:p>
    <w:p w:rsidR="005236A8" w:rsidRPr="0005282B" w:rsidRDefault="005236A8" w:rsidP="005236A8">
      <w:pPr>
        <w:numPr>
          <w:ilvl w:val="0"/>
          <w:numId w:val="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 xml:space="preserve">Colonne A : localisation </w:t>
      </w:r>
    </w:p>
    <w:p w:rsidR="005236A8" w:rsidRPr="00C25169" w:rsidRDefault="005236A8" w:rsidP="00C25169">
      <w:pPr>
        <w:ind w:left="1276" w:firstLine="140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C’est la combinaison de l’abréviation de l’étude et du numéro</w:t>
      </w:r>
      <w:r w:rsidR="00F23998" w:rsidRPr="0005282B">
        <w:rPr>
          <w:rFonts w:cs="Arial"/>
          <w:sz w:val="24"/>
          <w:szCs w:val="24"/>
        </w:rPr>
        <w:t xml:space="preserve"> du point de relevé</w:t>
      </w:r>
      <w:r w:rsidR="00C25169">
        <w:rPr>
          <w:rFonts w:cs="Arial"/>
          <w:sz w:val="24"/>
          <w:szCs w:val="24"/>
        </w:rPr>
        <w:t>.</w:t>
      </w:r>
    </w:p>
    <w:p w:rsidR="005236A8" w:rsidRPr="0005282B" w:rsidRDefault="005236A8" w:rsidP="005236A8">
      <w:pPr>
        <w:numPr>
          <w:ilvl w:val="2"/>
          <w:numId w:val="1"/>
        </w:numPr>
        <w:tabs>
          <w:tab w:val="clear" w:pos="2160"/>
          <w:tab w:val="num" w:pos="1276"/>
        </w:tabs>
        <w:spacing w:after="0" w:line="240" w:lineRule="auto"/>
        <w:ind w:left="1276" w:hanging="283"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Colonne B : Placette unitaire (PAU)</w:t>
      </w:r>
    </w:p>
    <w:p w:rsidR="005236A8" w:rsidRPr="0005282B" w:rsidRDefault="00C25169" w:rsidP="005236A8">
      <w:pPr>
        <w:tabs>
          <w:tab w:val="left" w:pos="1134"/>
        </w:tabs>
        <w:ind w:left="1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23998" w:rsidRPr="0005282B">
        <w:rPr>
          <w:rFonts w:cs="Arial"/>
          <w:sz w:val="24"/>
          <w:szCs w:val="24"/>
        </w:rPr>
        <w:t>Comme il n’est pas appliqué de trait</w:t>
      </w:r>
      <w:r>
        <w:rPr>
          <w:rFonts w:cs="Arial"/>
          <w:sz w:val="24"/>
          <w:szCs w:val="24"/>
        </w:rPr>
        <w:t xml:space="preserve">ement particulier à la placette unitaire, elle </w:t>
      </w:r>
      <w:r w:rsidR="00F23998" w:rsidRPr="0005282B">
        <w:rPr>
          <w:rFonts w:cs="Arial"/>
          <w:sz w:val="24"/>
          <w:szCs w:val="24"/>
        </w:rPr>
        <w:t xml:space="preserve">prend la </w:t>
      </w:r>
      <w:r w:rsidR="0005282B">
        <w:rPr>
          <w:rFonts w:cs="Arial"/>
          <w:sz w:val="24"/>
          <w:szCs w:val="24"/>
        </w:rPr>
        <w:t>même appellation que la localisation</w:t>
      </w:r>
      <w:r w:rsidR="00F23998" w:rsidRPr="0005282B">
        <w:rPr>
          <w:rFonts w:cs="Arial"/>
          <w:sz w:val="24"/>
          <w:szCs w:val="24"/>
        </w:rPr>
        <w:t>.</w:t>
      </w:r>
    </w:p>
    <w:p w:rsidR="004E0E1F" w:rsidRPr="00CB4AB6" w:rsidRDefault="004E0E1F" w:rsidP="00CB4AB6">
      <w:pPr>
        <w:numPr>
          <w:ilvl w:val="2"/>
          <w:numId w:val="1"/>
        </w:numPr>
        <w:tabs>
          <w:tab w:val="clear" w:pos="2160"/>
          <w:tab w:val="num" w:pos="1276"/>
        </w:tabs>
        <w:spacing w:after="0" w:line="240" w:lineRule="auto"/>
        <w:ind w:left="1276" w:hanging="283"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Colonne L : Pente</w:t>
      </w:r>
      <w:r w:rsidR="00CB4AB6">
        <w:rPr>
          <w:rFonts w:cs="Arial"/>
          <w:sz w:val="24"/>
          <w:szCs w:val="24"/>
        </w:rPr>
        <w:t xml:space="preserve"> et</w:t>
      </w:r>
      <w:r w:rsidR="00CB4AB6" w:rsidRPr="00CB4AB6">
        <w:rPr>
          <w:rFonts w:cs="Arial"/>
          <w:sz w:val="24"/>
          <w:szCs w:val="24"/>
        </w:rPr>
        <w:t xml:space="preserve"> </w:t>
      </w:r>
      <w:r w:rsidR="00CB4AB6" w:rsidRPr="0005282B">
        <w:rPr>
          <w:rFonts w:cs="Arial"/>
          <w:sz w:val="24"/>
          <w:szCs w:val="24"/>
        </w:rPr>
        <w:t xml:space="preserve">Colonne N : Exposition </w:t>
      </w:r>
    </w:p>
    <w:p w:rsidR="006B7336" w:rsidRDefault="00CB4AB6" w:rsidP="006B7336">
      <w:pPr>
        <w:spacing w:after="0" w:line="240" w:lineRule="auto"/>
        <w:ind w:left="1276" w:firstLine="1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Lors du relevé de terrain, la pente et l’exposition ont été </w:t>
      </w:r>
      <w:r w:rsidR="00B40BBB">
        <w:rPr>
          <w:rFonts w:cs="Arial"/>
          <w:sz w:val="24"/>
          <w:szCs w:val="24"/>
        </w:rPr>
        <w:t>appréciée</w:t>
      </w:r>
      <w:r>
        <w:rPr>
          <w:rFonts w:cs="Arial"/>
          <w:sz w:val="24"/>
          <w:szCs w:val="24"/>
        </w:rPr>
        <w:t>s</w:t>
      </w:r>
      <w:r w:rsidR="00B40BBB">
        <w:rPr>
          <w:rFonts w:cs="Arial"/>
          <w:sz w:val="24"/>
          <w:szCs w:val="24"/>
        </w:rPr>
        <w:t xml:space="preserve"> </w:t>
      </w:r>
      <w:r w:rsidR="008E19CD">
        <w:rPr>
          <w:rFonts w:cs="Arial"/>
          <w:sz w:val="24"/>
          <w:szCs w:val="24"/>
        </w:rPr>
        <w:t>qualitativement</w:t>
      </w:r>
      <w:r>
        <w:rPr>
          <w:rFonts w:cs="Arial"/>
          <w:sz w:val="24"/>
          <w:szCs w:val="24"/>
        </w:rPr>
        <w:t>, ce que ne prévoit pas la base. En conséquence, Nathalie Leroy a effectué une multi analyse spatiale des relevés dont on connait, la localisation au moy</w:t>
      </w:r>
      <w:r w:rsidR="006B7336">
        <w:rPr>
          <w:rFonts w:cs="Arial"/>
          <w:sz w:val="24"/>
          <w:szCs w:val="24"/>
        </w:rPr>
        <w:t xml:space="preserve">en de cartes IGN à la maille </w:t>
      </w:r>
      <w:r>
        <w:rPr>
          <w:rFonts w:cs="Arial"/>
          <w:sz w:val="24"/>
          <w:szCs w:val="24"/>
        </w:rPr>
        <w:t xml:space="preserve">de 5m. La comparaison avec les indications de terrain a permis de pointer une quinzaine d’incohérences et d’effectuer les corrections appropriées (relocalisation du relevé sur le plan, augmentation de la marge d’erreur de localisation, utilisation de la valeur de terrain </w:t>
      </w:r>
      <w:r w:rsidR="006B7336">
        <w:rPr>
          <w:rFonts w:cs="Arial"/>
          <w:sz w:val="24"/>
          <w:szCs w:val="24"/>
        </w:rPr>
        <w:t xml:space="preserve">la </w:t>
      </w:r>
      <w:r>
        <w:rPr>
          <w:rFonts w:cs="Arial"/>
          <w:sz w:val="24"/>
          <w:szCs w:val="24"/>
        </w:rPr>
        <w:t>plus plausible)</w:t>
      </w:r>
    </w:p>
    <w:p w:rsidR="004E0E1F" w:rsidRPr="006B7336" w:rsidRDefault="00C25169" w:rsidP="006B7336">
      <w:pPr>
        <w:spacing w:after="0" w:line="240" w:lineRule="auto"/>
        <w:ind w:left="1276" w:firstLine="1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5236A8" w:rsidRPr="0005282B" w:rsidRDefault="00F4284F" w:rsidP="005236A8">
      <w:pPr>
        <w:numPr>
          <w:ilvl w:val="2"/>
          <w:numId w:val="1"/>
        </w:numPr>
        <w:tabs>
          <w:tab w:val="clear" w:pos="2160"/>
          <w:tab w:val="left" w:pos="1134"/>
          <w:tab w:val="num" w:pos="1701"/>
        </w:tabs>
        <w:spacing w:after="0" w:line="240" w:lineRule="auto"/>
        <w:ind w:left="1276" w:hanging="283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Colonne P</w:t>
      </w:r>
      <w:r w:rsidR="005236A8" w:rsidRPr="0005282B">
        <w:rPr>
          <w:rFonts w:cs="Arial"/>
          <w:sz w:val="24"/>
          <w:szCs w:val="24"/>
        </w:rPr>
        <w:t xml:space="preserve"> : position topographique </w:t>
      </w:r>
    </w:p>
    <w:p w:rsidR="00C05F9D" w:rsidRDefault="00C25169" w:rsidP="005236A8">
      <w:pPr>
        <w:tabs>
          <w:tab w:val="left" w:pos="1134"/>
          <w:tab w:val="num" w:pos="1701"/>
        </w:tabs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236A8" w:rsidRPr="0005282B">
        <w:rPr>
          <w:rFonts w:cs="Arial"/>
          <w:sz w:val="24"/>
          <w:szCs w:val="24"/>
        </w:rPr>
        <w:t>Situation de la placette dans le relief environnant :</w:t>
      </w:r>
      <w:r w:rsidR="00CD5A74" w:rsidRPr="0005282B">
        <w:rPr>
          <w:rFonts w:cs="Arial"/>
          <w:sz w:val="24"/>
          <w:szCs w:val="24"/>
        </w:rPr>
        <w:t xml:space="preserve"> </w:t>
      </w:r>
    </w:p>
    <w:tbl>
      <w:tblPr>
        <w:tblW w:w="4461" w:type="dxa"/>
        <w:tblInd w:w="2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1691"/>
      </w:tblGrid>
      <w:tr w:rsidR="00C05F9D" w:rsidTr="00440C12">
        <w:trPr>
          <w:trHeight w:val="543"/>
        </w:trPr>
        <w:tc>
          <w:tcPr>
            <w:tcW w:w="0" w:type="auto"/>
            <w:shd w:val="clear" w:color="auto" w:fill="auto"/>
          </w:tcPr>
          <w:p w:rsidR="00C05F9D" w:rsidRDefault="00C05F9D" w:rsidP="003B0C52">
            <w:pPr>
              <w:keepNext/>
              <w:jc w:val="both"/>
            </w:pPr>
            <w:r>
              <w:t>définition</w:t>
            </w:r>
          </w:p>
        </w:tc>
        <w:tc>
          <w:tcPr>
            <w:tcW w:w="0" w:type="auto"/>
            <w:shd w:val="clear" w:color="auto" w:fill="auto"/>
          </w:tcPr>
          <w:p w:rsidR="00C05F9D" w:rsidRDefault="00C05F9D" w:rsidP="003B0C52">
            <w:pPr>
              <w:keepNext/>
              <w:jc w:val="both"/>
            </w:pPr>
            <w:r>
              <w:t>Code base</w:t>
            </w:r>
          </w:p>
        </w:tc>
      </w:tr>
      <w:tr w:rsidR="00BE665F" w:rsidTr="00440C12">
        <w:trPr>
          <w:trHeight w:val="527"/>
        </w:trPr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plateau</w:t>
            </w:r>
          </w:p>
        </w:tc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P</w:t>
            </w:r>
          </w:p>
        </w:tc>
      </w:tr>
      <w:tr w:rsidR="00315CCE" w:rsidTr="00440C12">
        <w:trPr>
          <w:trHeight w:val="543"/>
        </w:trPr>
        <w:tc>
          <w:tcPr>
            <w:tcW w:w="0" w:type="auto"/>
            <w:shd w:val="clear" w:color="auto" w:fill="auto"/>
          </w:tcPr>
          <w:p w:rsidR="00315CCE" w:rsidRDefault="00315CCE" w:rsidP="003B0C52">
            <w:pPr>
              <w:keepNext/>
              <w:jc w:val="both"/>
            </w:pPr>
            <w:r>
              <w:t>Rebord de plateau</w:t>
            </w:r>
          </w:p>
        </w:tc>
        <w:tc>
          <w:tcPr>
            <w:tcW w:w="0" w:type="auto"/>
            <w:shd w:val="clear" w:color="auto" w:fill="auto"/>
          </w:tcPr>
          <w:p w:rsidR="00315CCE" w:rsidRDefault="00315CCE" w:rsidP="003B0C52">
            <w:pPr>
              <w:keepNext/>
              <w:jc w:val="both"/>
            </w:pPr>
            <w:r>
              <w:t>Rb</w:t>
            </w:r>
          </w:p>
        </w:tc>
      </w:tr>
      <w:tr w:rsidR="00BE665F" w:rsidTr="00440C12">
        <w:trPr>
          <w:trHeight w:val="527"/>
        </w:trPr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haut de pente</w:t>
            </w:r>
          </w:p>
        </w:tc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HP</w:t>
            </w:r>
          </w:p>
        </w:tc>
      </w:tr>
      <w:tr w:rsidR="00BE665F" w:rsidTr="00440C12">
        <w:trPr>
          <w:trHeight w:val="543"/>
        </w:trPr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proofErr w:type="spellStart"/>
            <w:r>
              <w:t>mi-pente</w:t>
            </w:r>
            <w:proofErr w:type="spellEnd"/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MP</w:t>
            </w:r>
          </w:p>
        </w:tc>
      </w:tr>
      <w:tr w:rsidR="00BE665F" w:rsidTr="00440C12">
        <w:trPr>
          <w:trHeight w:val="543"/>
        </w:trPr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bas de pente </w:t>
            </w:r>
          </w:p>
        </w:tc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BP</w:t>
            </w:r>
          </w:p>
        </w:tc>
      </w:tr>
      <w:tr w:rsidR="00BE665F" w:rsidTr="00440C12">
        <w:trPr>
          <w:trHeight w:val="527"/>
        </w:trPr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fond de vallon</w:t>
            </w:r>
          </w:p>
        </w:tc>
        <w:tc>
          <w:tcPr>
            <w:tcW w:w="0" w:type="auto"/>
            <w:shd w:val="clear" w:color="auto" w:fill="auto"/>
          </w:tcPr>
          <w:p w:rsidR="00BE665F" w:rsidRDefault="00BE665F" w:rsidP="003B0C52">
            <w:pPr>
              <w:keepNext/>
              <w:jc w:val="both"/>
            </w:pPr>
            <w:r>
              <w:t>FV</w:t>
            </w:r>
          </w:p>
        </w:tc>
      </w:tr>
    </w:tbl>
    <w:p w:rsidR="00C05F9D" w:rsidRDefault="00C05F9D" w:rsidP="005236A8">
      <w:pPr>
        <w:tabs>
          <w:tab w:val="left" w:pos="1134"/>
          <w:tab w:val="num" w:pos="1701"/>
        </w:tabs>
        <w:ind w:left="1276" w:hanging="283"/>
        <w:rPr>
          <w:rFonts w:cs="Arial"/>
          <w:sz w:val="24"/>
          <w:szCs w:val="24"/>
        </w:rPr>
      </w:pPr>
    </w:p>
    <w:p w:rsidR="005236A8" w:rsidRPr="00AD3A6B" w:rsidRDefault="00F23998" w:rsidP="005236A8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Peuplement</w:t>
      </w:r>
      <w:r w:rsidR="005236A8" w:rsidRPr="00AD3A6B">
        <w:rPr>
          <w:b/>
          <w:sz w:val="28"/>
          <w:szCs w:val="28"/>
          <w:u w:val="single"/>
        </w:rPr>
        <w:t> :</w:t>
      </w:r>
    </w:p>
    <w:p w:rsidR="005236A8" w:rsidRPr="00AB57ED" w:rsidRDefault="006B7336" w:rsidP="003161FB">
      <w:pPr>
        <w:ind w:left="708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 type de peuplement indiqué dans l’étude sera codé manuellement dès qu’il y aura consensus sur la codification à employer. </w:t>
      </w:r>
    </w:p>
    <w:p w:rsidR="005236A8" w:rsidRPr="00953309" w:rsidRDefault="005236A8" w:rsidP="005236A8">
      <w:pPr>
        <w:jc w:val="both"/>
      </w:pPr>
    </w:p>
    <w:p w:rsidR="005236A8" w:rsidRPr="00DB28FB" w:rsidRDefault="005236A8" w:rsidP="005236A8">
      <w:pPr>
        <w:numPr>
          <w:ilvl w:val="0"/>
          <w:numId w:val="5"/>
        </w:numPr>
        <w:tabs>
          <w:tab w:val="left" w:pos="709"/>
        </w:tabs>
        <w:ind w:left="1276" w:hanging="283"/>
        <w:jc w:val="both"/>
        <w:rPr>
          <w:b/>
          <w:sz w:val="28"/>
          <w:szCs w:val="28"/>
          <w:u w:val="single"/>
        </w:rPr>
      </w:pPr>
      <w:r w:rsidRPr="00DB28FB">
        <w:rPr>
          <w:b/>
          <w:sz w:val="28"/>
          <w:szCs w:val="28"/>
          <w:u w:val="single"/>
        </w:rPr>
        <w:t>Floristique :</w:t>
      </w:r>
    </w:p>
    <w:p w:rsidR="005236A8" w:rsidRPr="0005282B" w:rsidRDefault="005236A8" w:rsidP="005236A8">
      <w:pPr>
        <w:ind w:left="720"/>
        <w:jc w:val="both"/>
      </w:pPr>
    </w:p>
    <w:p w:rsidR="005236A8" w:rsidRPr="00EC260B" w:rsidRDefault="00EC260B" w:rsidP="003161FB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 w:rsidRPr="00EC260B">
        <w:rPr>
          <w:rFonts w:cs="Arial"/>
          <w:sz w:val="24"/>
          <w:szCs w:val="24"/>
        </w:rPr>
        <w:t>La campagne d’inventaire s’</w:t>
      </w:r>
      <w:r>
        <w:rPr>
          <w:rFonts w:cs="Arial"/>
          <w:sz w:val="24"/>
          <w:szCs w:val="24"/>
        </w:rPr>
        <w:t>est déroulée du 27</w:t>
      </w:r>
      <w:r w:rsidRPr="00EC260B">
        <w:rPr>
          <w:rFonts w:cs="Arial"/>
          <w:sz w:val="24"/>
          <w:szCs w:val="24"/>
        </w:rPr>
        <w:t xml:space="preserve"> juillet au 21 septembre 1973.</w:t>
      </w:r>
      <w:r>
        <w:rPr>
          <w:rFonts w:cs="Arial"/>
          <w:sz w:val="24"/>
          <w:szCs w:val="24"/>
        </w:rPr>
        <w:t xml:space="preserve"> </w:t>
      </w:r>
      <w:r w:rsidR="00DE7048" w:rsidRPr="00EC260B">
        <w:rPr>
          <w:rFonts w:cs="Arial"/>
          <w:sz w:val="24"/>
          <w:szCs w:val="24"/>
        </w:rPr>
        <w:t>Les données fl</w:t>
      </w:r>
      <w:bookmarkStart w:id="0" w:name="_GoBack"/>
      <w:bookmarkEnd w:id="0"/>
      <w:r w:rsidR="00DE7048" w:rsidRPr="00EC260B">
        <w:rPr>
          <w:rFonts w:cs="Arial"/>
          <w:sz w:val="24"/>
          <w:szCs w:val="24"/>
        </w:rPr>
        <w:t>oristiques sont issues des fiches des</w:t>
      </w:r>
      <w:r w:rsidR="00740F30" w:rsidRPr="00EC260B">
        <w:rPr>
          <w:rFonts w:cs="Arial"/>
          <w:sz w:val="24"/>
          <w:szCs w:val="24"/>
        </w:rPr>
        <w:t xml:space="preserve"> relevés de terrain</w:t>
      </w:r>
      <w:r w:rsidR="00DE7048" w:rsidRPr="00EC260B">
        <w:rPr>
          <w:rFonts w:cs="Arial"/>
          <w:sz w:val="24"/>
          <w:szCs w:val="24"/>
        </w:rPr>
        <w:t xml:space="preserve">. Les notations ont été effectuées </w:t>
      </w:r>
      <w:r w:rsidR="005236A8" w:rsidRPr="00EC260B">
        <w:rPr>
          <w:rFonts w:cs="Arial"/>
          <w:sz w:val="24"/>
          <w:szCs w:val="24"/>
        </w:rPr>
        <w:t>selon la méthode Zuricho-Montpelliéraine, Braun Blan</w:t>
      </w:r>
      <w:r w:rsidR="003161FB" w:rsidRPr="00EC260B">
        <w:rPr>
          <w:rFonts w:cs="Arial"/>
          <w:sz w:val="24"/>
          <w:szCs w:val="24"/>
        </w:rPr>
        <w:t>quet 1932.</w:t>
      </w:r>
      <w:r w:rsidR="00CF435A" w:rsidRPr="00EC260B">
        <w:rPr>
          <w:rFonts w:cs="Arial"/>
          <w:sz w:val="24"/>
          <w:szCs w:val="24"/>
        </w:rPr>
        <w:t xml:space="preserve"> Alain </w:t>
      </w:r>
      <w:proofErr w:type="spellStart"/>
      <w:r w:rsidR="00CF435A" w:rsidRPr="00EC260B">
        <w:rPr>
          <w:rFonts w:cs="Arial"/>
          <w:sz w:val="24"/>
          <w:szCs w:val="24"/>
        </w:rPr>
        <w:t>Nussbaum</w:t>
      </w:r>
      <w:proofErr w:type="spellEnd"/>
      <w:r w:rsidR="00CF435A" w:rsidRPr="00EC260B">
        <w:rPr>
          <w:rFonts w:cs="Arial"/>
          <w:sz w:val="24"/>
          <w:szCs w:val="24"/>
        </w:rPr>
        <w:t xml:space="preserve"> a utilisé la flore de Fournier pour les phanérogames et les cryptogames vasculaires et la flore d’Augier pour les Bryophytes.</w:t>
      </w:r>
    </w:p>
    <w:p w:rsidR="00AB57ED" w:rsidRDefault="00AB57ED" w:rsidP="003161FB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Particularités :</w:t>
      </w:r>
    </w:p>
    <w:p w:rsidR="00AB57ED" w:rsidRPr="00DE7048" w:rsidRDefault="00AB57ED" w:rsidP="00834DF4">
      <w:pPr>
        <w:ind w:left="213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A6726">
        <w:rPr>
          <w:rFonts w:cs="Arial"/>
          <w:sz w:val="24"/>
          <w:szCs w:val="24"/>
        </w:rPr>
        <w:t>lantation</w:t>
      </w:r>
      <w:r>
        <w:rPr>
          <w:rFonts w:cs="Arial"/>
          <w:sz w:val="24"/>
          <w:szCs w:val="24"/>
        </w:rPr>
        <w:t>, limite</w:t>
      </w:r>
      <w:r w:rsidR="001A672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mort</w:t>
      </w:r>
      <w:r w:rsidR="00834DF4">
        <w:rPr>
          <w:rFonts w:cs="Arial"/>
          <w:sz w:val="24"/>
          <w:szCs w:val="24"/>
        </w:rPr>
        <w:t>.</w:t>
      </w:r>
    </w:p>
    <w:p w:rsidR="005236A8" w:rsidRPr="0005282B" w:rsidRDefault="005236A8" w:rsidP="005236A8">
      <w:pPr>
        <w:numPr>
          <w:ilvl w:val="0"/>
          <w:numId w:val="4"/>
        </w:numPr>
        <w:contextualSpacing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 xml:space="preserve">strates utilisées : </w:t>
      </w:r>
    </w:p>
    <w:tbl>
      <w:tblPr>
        <w:tblW w:w="0" w:type="auto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5304"/>
        <w:gridCol w:w="690"/>
      </w:tblGrid>
      <w:tr w:rsidR="005236A8" w:rsidRPr="0005282B" w:rsidTr="006B7336">
        <w:tc>
          <w:tcPr>
            <w:tcW w:w="1240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Intitulé strate</w:t>
            </w:r>
          </w:p>
        </w:tc>
        <w:tc>
          <w:tcPr>
            <w:tcW w:w="5304" w:type="dxa"/>
            <w:shd w:val="clear" w:color="auto" w:fill="auto"/>
          </w:tcPr>
          <w:p w:rsidR="005236A8" w:rsidRPr="0005282B" w:rsidRDefault="005236A8" w:rsidP="005236A8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définition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code</w:t>
            </w:r>
          </w:p>
        </w:tc>
      </w:tr>
      <w:tr w:rsidR="005236A8" w:rsidRPr="0005282B" w:rsidTr="006B7336">
        <w:tc>
          <w:tcPr>
            <w:tcW w:w="1240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arborescente</w:t>
            </w:r>
          </w:p>
        </w:tc>
        <w:tc>
          <w:tcPr>
            <w:tcW w:w="5304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Ligneux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&gt;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7m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</w:t>
            </w:r>
          </w:p>
        </w:tc>
      </w:tr>
      <w:tr w:rsidR="005236A8" w:rsidRPr="0005282B" w:rsidTr="006B7336">
        <w:tc>
          <w:tcPr>
            <w:tcW w:w="1240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arbustive</w:t>
            </w:r>
          </w:p>
        </w:tc>
        <w:tc>
          <w:tcPr>
            <w:tcW w:w="5304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Ligneux &gt; 50cm et &lt; 7m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F516F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</w:p>
        </w:tc>
      </w:tr>
      <w:tr w:rsidR="005236A8" w:rsidRPr="0005282B" w:rsidTr="006B7336">
        <w:tc>
          <w:tcPr>
            <w:tcW w:w="1240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herbacée</w:t>
            </w:r>
          </w:p>
        </w:tc>
        <w:tc>
          <w:tcPr>
            <w:tcW w:w="5304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Ligneux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&lt;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Pr="0005282B">
              <w:rPr>
                <w:rFonts w:cs="Arial"/>
                <w:sz w:val="24"/>
                <w:szCs w:val="24"/>
              </w:rPr>
              <w:t>50 cm et herbacées de toutes hauteurs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F516F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</w:p>
        </w:tc>
      </w:tr>
      <w:tr w:rsidR="005236A8" w:rsidRPr="0005282B" w:rsidTr="006B7336">
        <w:tc>
          <w:tcPr>
            <w:tcW w:w="1240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mousse</w:t>
            </w:r>
          </w:p>
        </w:tc>
        <w:tc>
          <w:tcPr>
            <w:tcW w:w="5304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proofErr w:type="spellStart"/>
            <w:r w:rsidRPr="0005282B">
              <w:rPr>
                <w:rFonts w:cs="Arial"/>
                <w:sz w:val="24"/>
                <w:szCs w:val="24"/>
              </w:rPr>
              <w:t>Hepaticophyta</w:t>
            </w:r>
            <w:proofErr w:type="spellEnd"/>
            <w:r w:rsidRPr="0005282B">
              <w:rPr>
                <w:rFonts w:cs="Arial"/>
                <w:sz w:val="24"/>
                <w:szCs w:val="24"/>
              </w:rPr>
              <w:t xml:space="preserve"> et </w:t>
            </w:r>
            <w:proofErr w:type="spellStart"/>
            <w:r w:rsidRPr="0005282B">
              <w:rPr>
                <w:rFonts w:cs="Arial"/>
                <w:sz w:val="24"/>
                <w:szCs w:val="24"/>
              </w:rPr>
              <w:t>Bryophyta</w:t>
            </w:r>
            <w:proofErr w:type="spellEnd"/>
            <w:r w:rsidRPr="0005282B">
              <w:rPr>
                <w:rFonts w:cs="Arial"/>
                <w:sz w:val="24"/>
                <w:szCs w:val="24"/>
              </w:rPr>
              <w:t xml:space="preserve"> humicole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F516F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</w:tr>
    </w:tbl>
    <w:p w:rsidR="005236A8" w:rsidRPr="0005282B" w:rsidRDefault="005236A8" w:rsidP="005236A8">
      <w:pPr>
        <w:ind w:left="2136"/>
        <w:jc w:val="both"/>
        <w:rPr>
          <w:rFonts w:cs="Arial"/>
          <w:sz w:val="24"/>
          <w:szCs w:val="24"/>
        </w:rPr>
      </w:pPr>
    </w:p>
    <w:p w:rsidR="005236A8" w:rsidRPr="0005282B" w:rsidRDefault="005236A8" w:rsidP="005236A8">
      <w:pPr>
        <w:numPr>
          <w:ilvl w:val="0"/>
          <w:numId w:val="4"/>
        </w:numPr>
        <w:contextualSpacing/>
        <w:jc w:val="both"/>
        <w:rPr>
          <w:rFonts w:cs="Arial"/>
          <w:sz w:val="24"/>
          <w:szCs w:val="24"/>
        </w:rPr>
      </w:pPr>
      <w:r w:rsidRPr="0005282B">
        <w:rPr>
          <w:rFonts w:cs="Arial"/>
          <w:sz w:val="24"/>
          <w:szCs w:val="24"/>
        </w:rPr>
        <w:t>coefficient</w:t>
      </w:r>
      <w:r w:rsidR="00284C99">
        <w:rPr>
          <w:rFonts w:cs="Arial"/>
          <w:sz w:val="24"/>
          <w:szCs w:val="24"/>
        </w:rPr>
        <w:t xml:space="preserve">s utilisés </w:t>
      </w:r>
      <w:r w:rsidRPr="0005282B">
        <w:rPr>
          <w:rFonts w:cs="Arial"/>
          <w:sz w:val="24"/>
          <w:szCs w:val="24"/>
        </w:rPr>
        <w:t xml:space="preserve">: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6906"/>
      </w:tblGrid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coefficient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définition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rare que l’on peut éventuellement manquer.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 xml:space="preserve">Espèce </w:t>
            </w:r>
            <w:r w:rsidR="00C90D04">
              <w:rPr>
                <w:rFonts w:cs="Arial"/>
                <w:sz w:val="24"/>
                <w:szCs w:val="24"/>
              </w:rPr>
              <w:t xml:space="preserve">peu abondante, </w:t>
            </w:r>
            <w:r w:rsidRPr="0005282B">
              <w:rPr>
                <w:rFonts w:cs="Arial"/>
                <w:sz w:val="24"/>
                <w:szCs w:val="24"/>
              </w:rPr>
              <w:t>de recouvrement &lt; 5% de la surface du relevé et que l’on ne peut pas manquer.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C90D04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Espèce </w:t>
            </w:r>
            <w:r w:rsidR="005236A8" w:rsidRPr="0005282B">
              <w:rPr>
                <w:rFonts w:cs="Arial"/>
                <w:sz w:val="24"/>
                <w:szCs w:val="24"/>
              </w:rPr>
              <w:t>abondante couvrant moins de 5% de la surface, ou couvrant entre 5 et 25 % de la surface du relevé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25 et 50% de la surface du relevé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50 et 75% de la surface du relevé</w:t>
            </w:r>
          </w:p>
        </w:tc>
      </w:tr>
      <w:tr w:rsidR="005236A8" w:rsidRPr="0005282B" w:rsidTr="00284C99">
        <w:tc>
          <w:tcPr>
            <w:tcW w:w="1248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9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75 et 100% de la surface du relevé</w:t>
            </w:r>
          </w:p>
        </w:tc>
      </w:tr>
    </w:tbl>
    <w:p w:rsidR="005236A8" w:rsidRPr="0005282B" w:rsidRDefault="005236A8" w:rsidP="005236A8">
      <w:pPr>
        <w:ind w:left="2136"/>
        <w:contextualSpacing/>
        <w:jc w:val="both"/>
        <w:rPr>
          <w:rFonts w:cs="Arial"/>
          <w:sz w:val="24"/>
          <w:szCs w:val="24"/>
        </w:rPr>
      </w:pPr>
    </w:p>
    <w:p w:rsidR="005236A8" w:rsidRPr="00953309" w:rsidRDefault="005236A8" w:rsidP="005236A8">
      <w:pPr>
        <w:ind w:left="2136"/>
        <w:contextualSpacing/>
        <w:jc w:val="both"/>
      </w:pPr>
    </w:p>
    <w:p w:rsidR="005236A8" w:rsidRPr="00953309" w:rsidRDefault="005236A8" w:rsidP="005236A8">
      <w:pPr>
        <w:ind w:left="708"/>
      </w:pPr>
    </w:p>
    <w:p w:rsidR="005236A8" w:rsidRPr="00DB28FB" w:rsidRDefault="005236A8" w:rsidP="005236A8">
      <w:pPr>
        <w:numPr>
          <w:ilvl w:val="0"/>
          <w:numId w:val="5"/>
        </w:numPr>
        <w:tabs>
          <w:tab w:val="left" w:pos="709"/>
        </w:tabs>
        <w:ind w:left="1276" w:hanging="283"/>
        <w:jc w:val="both"/>
        <w:rPr>
          <w:b/>
          <w:sz w:val="28"/>
          <w:szCs w:val="28"/>
          <w:u w:val="single"/>
        </w:rPr>
      </w:pPr>
      <w:r w:rsidRPr="00DB28FB">
        <w:rPr>
          <w:b/>
          <w:sz w:val="28"/>
          <w:szCs w:val="28"/>
          <w:u w:val="single"/>
        </w:rPr>
        <w:lastRenderedPageBreak/>
        <w:t>Pédologie :</w:t>
      </w:r>
    </w:p>
    <w:p w:rsidR="005236A8" w:rsidRDefault="000A31B2" w:rsidP="005236A8">
      <w:pPr>
        <w:jc w:val="both"/>
      </w:pPr>
      <w:r>
        <w:t xml:space="preserve">Dans chaque groupe de hêtraies défini par l’analyse floristique et la topographie, Alain </w:t>
      </w:r>
      <w:proofErr w:type="spellStart"/>
      <w:r>
        <w:t>Nussbaum</w:t>
      </w:r>
      <w:proofErr w:type="spellEnd"/>
      <w:r>
        <w:t xml:space="preserve"> a choisi 5 placettes au hasard dont le sol a été décrit à partir de plusieurs sondages (3 en moyenne). Les fiches de notations doivent être retrouvées pour permettre leur intégration dans la base sol.</w:t>
      </w:r>
    </w:p>
    <w:p w:rsidR="005236A8" w:rsidRDefault="005236A8" w:rsidP="005236A8">
      <w:pPr>
        <w:jc w:val="both"/>
      </w:pPr>
    </w:p>
    <w:p w:rsidR="005236A8" w:rsidRDefault="005236A8" w:rsidP="005236A8">
      <w:pPr>
        <w:jc w:val="both"/>
      </w:pPr>
    </w:p>
    <w:p w:rsidR="005236A8" w:rsidRPr="00953309" w:rsidRDefault="005236A8" w:rsidP="005236A8">
      <w:pPr>
        <w:ind w:left="-851"/>
        <w:jc w:val="both"/>
      </w:pPr>
    </w:p>
    <w:p w:rsidR="005236A8" w:rsidRPr="00953309" w:rsidRDefault="005236A8" w:rsidP="005236A8">
      <w:pPr>
        <w:jc w:val="both"/>
      </w:pPr>
    </w:p>
    <w:p w:rsidR="005236A8" w:rsidRPr="00953309" w:rsidRDefault="005236A8" w:rsidP="005236A8">
      <w:pPr>
        <w:jc w:val="both"/>
      </w:pPr>
    </w:p>
    <w:p w:rsidR="005236A8" w:rsidRDefault="005236A8" w:rsidP="005236A8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 xml:space="preserve">Publications : </w:t>
      </w:r>
    </w:p>
    <w:p w:rsidR="00FA39E6" w:rsidRPr="006B7336" w:rsidRDefault="006B7336" w:rsidP="006B7336">
      <w:pPr>
        <w:jc w:val="both"/>
      </w:pPr>
      <w:proofErr w:type="spellStart"/>
      <w:r w:rsidRPr="006B7336">
        <w:t>Nussbaum</w:t>
      </w:r>
      <w:proofErr w:type="spellEnd"/>
      <w:r w:rsidRPr="006B7336">
        <w:t xml:space="preserve">, A. (1974). Contribution à la mise au point d'une méthode de cartographie des stations forestières. Application à la forêt de La Montagne (côtes de Meuse) (Mémoire, Ecole Nationale des </w:t>
      </w:r>
      <w:proofErr w:type="spellStart"/>
      <w:r w:rsidRPr="006B7336">
        <w:t>Ingenieurs</w:t>
      </w:r>
      <w:proofErr w:type="spellEnd"/>
      <w:r w:rsidRPr="006B7336">
        <w:t xml:space="preserve"> des Travaux des Eaux et Forêts, FRA). 70 p. + Annexes</w:t>
      </w:r>
    </w:p>
    <w:sectPr w:rsidR="00FA39E6" w:rsidRPr="006B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13EB"/>
    <w:multiLevelType w:val="hybridMultilevel"/>
    <w:tmpl w:val="B734DA7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5C4"/>
    <w:multiLevelType w:val="hybridMultilevel"/>
    <w:tmpl w:val="C6C4E7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A7A0D94"/>
    <w:multiLevelType w:val="hybridMultilevel"/>
    <w:tmpl w:val="AC469826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0337"/>
    <w:multiLevelType w:val="hybridMultilevel"/>
    <w:tmpl w:val="2076D82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42A73190"/>
    <w:multiLevelType w:val="hybridMultilevel"/>
    <w:tmpl w:val="5126705C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8" w15:restartNumberingAfterBreak="0">
    <w:nsid w:val="4E124A1E"/>
    <w:multiLevelType w:val="hybridMultilevel"/>
    <w:tmpl w:val="687A99EC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238644F"/>
    <w:multiLevelType w:val="hybridMultilevel"/>
    <w:tmpl w:val="EA402098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77"/>
    <w:rsid w:val="00013E25"/>
    <w:rsid w:val="00026C2B"/>
    <w:rsid w:val="0005282B"/>
    <w:rsid w:val="000613EC"/>
    <w:rsid w:val="000A31B2"/>
    <w:rsid w:val="000A4A8C"/>
    <w:rsid w:val="000D78F5"/>
    <w:rsid w:val="00170494"/>
    <w:rsid w:val="001A6726"/>
    <w:rsid w:val="001B3D5E"/>
    <w:rsid w:val="00246F64"/>
    <w:rsid w:val="00284C99"/>
    <w:rsid w:val="002A01F6"/>
    <w:rsid w:val="002C66BA"/>
    <w:rsid w:val="00315CCE"/>
    <w:rsid w:val="003161FB"/>
    <w:rsid w:val="00403E25"/>
    <w:rsid w:val="00434709"/>
    <w:rsid w:val="00440C12"/>
    <w:rsid w:val="00445887"/>
    <w:rsid w:val="00496A72"/>
    <w:rsid w:val="004E0E1F"/>
    <w:rsid w:val="004E2CB8"/>
    <w:rsid w:val="005048AB"/>
    <w:rsid w:val="005236A8"/>
    <w:rsid w:val="005B1DEA"/>
    <w:rsid w:val="005B3177"/>
    <w:rsid w:val="005F124F"/>
    <w:rsid w:val="005F516F"/>
    <w:rsid w:val="0062268D"/>
    <w:rsid w:val="006B7336"/>
    <w:rsid w:val="006D3A66"/>
    <w:rsid w:val="006D7968"/>
    <w:rsid w:val="006D7BA5"/>
    <w:rsid w:val="00702355"/>
    <w:rsid w:val="00702A21"/>
    <w:rsid w:val="00740F30"/>
    <w:rsid w:val="00751D19"/>
    <w:rsid w:val="0076479A"/>
    <w:rsid w:val="00791F67"/>
    <w:rsid w:val="007F7CFC"/>
    <w:rsid w:val="0083096F"/>
    <w:rsid w:val="00834DF4"/>
    <w:rsid w:val="00843857"/>
    <w:rsid w:val="00881BF1"/>
    <w:rsid w:val="008A7694"/>
    <w:rsid w:val="008E19CD"/>
    <w:rsid w:val="00922E76"/>
    <w:rsid w:val="0093789A"/>
    <w:rsid w:val="009561C9"/>
    <w:rsid w:val="00A05C18"/>
    <w:rsid w:val="00A06B33"/>
    <w:rsid w:val="00A16F9C"/>
    <w:rsid w:val="00A574B7"/>
    <w:rsid w:val="00AB57ED"/>
    <w:rsid w:val="00AD11A3"/>
    <w:rsid w:val="00B12CB4"/>
    <w:rsid w:val="00B40BBB"/>
    <w:rsid w:val="00B45461"/>
    <w:rsid w:val="00BB50B7"/>
    <w:rsid w:val="00BE665F"/>
    <w:rsid w:val="00C05F9D"/>
    <w:rsid w:val="00C25169"/>
    <w:rsid w:val="00C712A1"/>
    <w:rsid w:val="00C75EAE"/>
    <w:rsid w:val="00C90D04"/>
    <w:rsid w:val="00CA237E"/>
    <w:rsid w:val="00CB0213"/>
    <w:rsid w:val="00CB4AB6"/>
    <w:rsid w:val="00CD5A74"/>
    <w:rsid w:val="00CF435A"/>
    <w:rsid w:val="00CF46B7"/>
    <w:rsid w:val="00D07DB4"/>
    <w:rsid w:val="00D37A7C"/>
    <w:rsid w:val="00D64DA1"/>
    <w:rsid w:val="00DE7048"/>
    <w:rsid w:val="00E36C3F"/>
    <w:rsid w:val="00E75358"/>
    <w:rsid w:val="00EC260B"/>
    <w:rsid w:val="00F10882"/>
    <w:rsid w:val="00F23998"/>
    <w:rsid w:val="00F4284F"/>
    <w:rsid w:val="00FA17A1"/>
    <w:rsid w:val="00FA39E6"/>
    <w:rsid w:val="00FD4E36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E288"/>
  <w15:docId w15:val="{85FFF5B2-F8E2-49F5-AE04-7AF18A18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6A8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6A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fgeremia</dc:creator>
  <cp:lastModifiedBy>Francois Geremia</cp:lastModifiedBy>
  <cp:revision>24</cp:revision>
  <dcterms:created xsi:type="dcterms:W3CDTF">2017-09-05T12:20:00Z</dcterms:created>
  <dcterms:modified xsi:type="dcterms:W3CDTF">2018-12-17T14:40:00Z</dcterms:modified>
</cp:coreProperties>
</file>