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5A" w:rsidRPr="00E04690" w:rsidRDefault="00647755" w:rsidP="00303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végétation de la forêt de Sainte Hélène</w:t>
      </w:r>
    </w:p>
    <w:p w:rsidR="0030365A" w:rsidRDefault="0030365A" w:rsidP="0030365A"/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Nom pour BDD:</w:t>
      </w:r>
    </w:p>
    <w:p w:rsidR="006650D5" w:rsidRPr="006650D5" w:rsidRDefault="00562666" w:rsidP="00665D2A">
      <w:pPr>
        <w:spacing w:after="200" w:line="276" w:lineRule="auto"/>
        <w:ind w:left="993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Associations </w:t>
      </w:r>
      <w:r w:rsidR="00B85D4D">
        <w:rPr>
          <w:rFonts w:asciiTheme="minorHAnsi" w:eastAsiaTheme="minorHAnsi" w:hAnsiTheme="minorHAnsi" w:cstheme="minorBidi"/>
          <w:lang w:eastAsia="en-US"/>
        </w:rPr>
        <w:t>végétal</w:t>
      </w:r>
      <w:r>
        <w:rPr>
          <w:rFonts w:asciiTheme="minorHAnsi" w:eastAsiaTheme="minorHAnsi" w:hAnsiTheme="minorHAnsi" w:cstheme="minorBidi"/>
          <w:lang w:eastAsia="en-US"/>
        </w:rPr>
        <w:t>es Sainte Hélène</w:t>
      </w:r>
    </w:p>
    <w:p w:rsidR="00665D2A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Nom complet :</w:t>
      </w:r>
    </w:p>
    <w:p w:rsidR="006650D5" w:rsidRPr="00665D2A" w:rsidRDefault="00E02A9F" w:rsidP="00665D2A">
      <w:pPr>
        <w:spacing w:after="200" w:line="276" w:lineRule="auto"/>
        <w:ind w:left="296" w:firstLine="708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lang w:eastAsia="en-US"/>
        </w:rPr>
        <w:t>Contribution à l’étude des associations forestières de</w:t>
      </w:r>
      <w:r w:rsidR="00647755" w:rsidRPr="00665D2A">
        <w:rPr>
          <w:rFonts w:asciiTheme="minorHAnsi" w:eastAsiaTheme="minorHAnsi" w:hAnsiTheme="minorHAnsi" w:cstheme="minorBidi"/>
          <w:lang w:eastAsia="en-US"/>
        </w:rPr>
        <w:t xml:space="preserve"> la forêt de Sainte Hélène</w:t>
      </w:r>
    </w:p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Abrégé :</w:t>
      </w:r>
    </w:p>
    <w:p w:rsidR="006650D5" w:rsidRDefault="006650D5" w:rsidP="00665D2A">
      <w:pPr>
        <w:ind w:left="296" w:firstLine="708"/>
      </w:pPr>
      <w:proofErr w:type="spellStart"/>
      <w:r>
        <w:t>FloShPs</w:t>
      </w:r>
      <w:proofErr w:type="spellEnd"/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Résumé :</w:t>
      </w:r>
    </w:p>
    <w:p w:rsidR="006650D5" w:rsidRPr="002978F3" w:rsidRDefault="00275D45" w:rsidP="00665D2A">
      <w:pPr>
        <w:ind w:left="993" w:firstLine="11"/>
      </w:pPr>
      <w:r>
        <w:t xml:space="preserve">En 1968, au cours de sa thèse, Jean </w:t>
      </w:r>
      <w:proofErr w:type="spellStart"/>
      <w:r>
        <w:t>Timbal</w:t>
      </w:r>
      <w:proofErr w:type="spellEnd"/>
      <w:r>
        <w:t xml:space="preserve"> a </w:t>
      </w:r>
      <w:r w:rsidR="00397B4D">
        <w:t>défini et cartographié l</w:t>
      </w:r>
      <w:r w:rsidR="00397B4D" w:rsidRPr="006B10DE">
        <w:t>es associations végétales</w:t>
      </w:r>
      <w:r w:rsidR="00397B4D">
        <w:t xml:space="preserve"> de la </w:t>
      </w:r>
      <w:r w:rsidR="00397B4D" w:rsidRPr="006B10DE">
        <w:t xml:space="preserve">forêt de Sainte Hélène </w:t>
      </w:r>
      <w:r w:rsidR="00397B4D">
        <w:t xml:space="preserve">Il a aussi </w:t>
      </w:r>
      <w:r w:rsidR="00397B4D">
        <w:t>précisé leurs relations dans</w:t>
      </w:r>
      <w:r>
        <w:t xml:space="preserve"> l’espace et</w:t>
      </w:r>
      <w:r w:rsidR="00397B4D">
        <w:t xml:space="preserve"> dans</w:t>
      </w:r>
      <w:r>
        <w:t xml:space="preserve"> le temps avec les facteurs édaphiques</w:t>
      </w:r>
      <w:r w:rsidR="00397B4D">
        <w:t xml:space="preserve"> de cette forêt</w:t>
      </w:r>
      <w:r>
        <w:t>.</w:t>
      </w:r>
    </w:p>
    <w:p w:rsidR="006650D5" w:rsidRPr="006650D5" w:rsidRDefault="006650D5" w:rsidP="006650D5">
      <w:pPr>
        <w:spacing w:after="200" w:line="276" w:lineRule="auto"/>
        <w:ind w:firstLine="284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Objectifs : </w:t>
      </w:r>
    </w:p>
    <w:p w:rsidR="006650D5" w:rsidRPr="00665D2A" w:rsidRDefault="006650D5" w:rsidP="00665D2A">
      <w:pPr>
        <w:spacing w:after="200" w:line="276" w:lineRule="auto"/>
        <w:ind w:left="993"/>
        <w:jc w:val="both"/>
        <w:rPr>
          <w:rFonts w:eastAsiaTheme="minorHAnsi"/>
          <w:lang w:eastAsia="en-US"/>
        </w:rPr>
      </w:pPr>
      <w:r w:rsidRPr="00665D2A">
        <w:rPr>
          <w:rFonts w:eastAsiaTheme="minorHAnsi"/>
          <w:lang w:eastAsia="en-US"/>
        </w:rPr>
        <w:t xml:space="preserve">Inventorier </w:t>
      </w:r>
      <w:r w:rsidR="00562666" w:rsidRPr="00665D2A">
        <w:rPr>
          <w:rFonts w:eastAsiaTheme="minorHAnsi"/>
          <w:lang w:eastAsia="en-US"/>
        </w:rPr>
        <w:t xml:space="preserve">la forêt de Sainte Hélène </w:t>
      </w:r>
      <w:r w:rsidRPr="00665D2A">
        <w:rPr>
          <w:rFonts w:eastAsiaTheme="minorHAnsi"/>
          <w:lang w:eastAsia="en-US"/>
        </w:rPr>
        <w:t xml:space="preserve">pour en définir les </w:t>
      </w:r>
      <w:r w:rsidR="00562666" w:rsidRPr="00665D2A">
        <w:rPr>
          <w:rFonts w:eastAsiaTheme="minorHAnsi"/>
          <w:lang w:eastAsia="en-US"/>
        </w:rPr>
        <w:t>associations floristiques et les relier à l’étude pédologique précédente réalisée par François Le</w:t>
      </w:r>
      <w:r w:rsidR="002A1DD2" w:rsidRPr="00665D2A">
        <w:rPr>
          <w:rFonts w:eastAsiaTheme="minorHAnsi"/>
          <w:lang w:eastAsia="en-US"/>
        </w:rPr>
        <w:t xml:space="preserve"> T</w:t>
      </w:r>
      <w:r w:rsidR="00562666" w:rsidRPr="00665D2A">
        <w:rPr>
          <w:rFonts w:eastAsiaTheme="minorHAnsi"/>
          <w:lang w:eastAsia="en-US"/>
        </w:rPr>
        <w:t>acon.</w:t>
      </w:r>
    </w:p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Protocole de prélèvement et d’observation :</w:t>
      </w:r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0D5" w:rsidRDefault="006650D5" w:rsidP="006650D5">
      <w:pPr>
        <w:numPr>
          <w:ilvl w:val="1"/>
          <w:numId w:val="1"/>
        </w:numPr>
        <w:spacing w:after="200" w:line="276" w:lineRule="auto"/>
        <w:rPr>
          <w:rFonts w:asciiTheme="minorHAnsi" w:eastAsiaTheme="minorHAnsi" w:hAnsiTheme="minorHAnsi" w:cstheme="minorBidi"/>
          <w:u w:val="single"/>
          <w:lang w:eastAsia="en-US"/>
        </w:rPr>
      </w:pPr>
      <w:r w:rsidRPr="006650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Fichier Placettes :</w:t>
      </w:r>
      <w:r w:rsidRPr="006650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650D5">
        <w:rPr>
          <w:rFonts w:asciiTheme="minorHAnsi" w:eastAsiaTheme="minorHAnsi" w:hAnsiTheme="minorHAnsi" w:cstheme="minorBidi"/>
          <w:lang w:eastAsia="en-US"/>
        </w:rPr>
        <w:t>(</w:t>
      </w:r>
      <w:r w:rsidR="00562666">
        <w:rPr>
          <w:rFonts w:asciiTheme="minorHAnsi" w:eastAsiaTheme="minorHAnsi" w:hAnsiTheme="minorHAnsi" w:cstheme="minorBidi"/>
          <w:lang w:eastAsia="en-US"/>
        </w:rPr>
        <w:t>FloShPs</w:t>
      </w:r>
      <w:r w:rsidRPr="006650D5">
        <w:rPr>
          <w:rFonts w:asciiTheme="minorHAnsi" w:eastAsiaTheme="minorHAnsi" w:hAnsiTheme="minorHAnsi" w:cstheme="minorBidi"/>
          <w:lang w:eastAsia="en-US"/>
        </w:rPr>
        <w:t>_placettes_pour_BDD.xlsx)</w:t>
      </w:r>
    </w:p>
    <w:p w:rsidR="006650D5" w:rsidRPr="006650D5" w:rsidRDefault="006650D5" w:rsidP="006650D5">
      <w:pPr>
        <w:ind w:left="1440"/>
        <w:rPr>
          <w:rFonts w:asciiTheme="minorHAnsi" w:eastAsiaTheme="minorHAnsi" w:hAnsiTheme="minorHAnsi" w:cstheme="minorBidi"/>
          <w:u w:val="single"/>
          <w:lang w:eastAsia="en-US"/>
        </w:rPr>
      </w:pPr>
    </w:p>
    <w:p w:rsidR="006650D5" w:rsidRPr="006650D5" w:rsidRDefault="006650D5" w:rsidP="006650D5">
      <w:pPr>
        <w:spacing w:after="200" w:line="276" w:lineRule="auto"/>
        <w:rPr>
          <w:rFonts w:asciiTheme="minorHAnsi" w:eastAsiaTheme="minorHAnsi" w:hAnsiTheme="minorHAnsi" w:cstheme="minorBidi"/>
          <w:u w:val="single"/>
          <w:lang w:eastAsia="en-US"/>
        </w:rPr>
      </w:pPr>
    </w:p>
    <w:p w:rsidR="006650D5" w:rsidRPr="00EE50AF" w:rsidRDefault="00EE50AF" w:rsidP="00EE50AF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183</w:t>
      </w:r>
      <w:r w:rsidR="006650D5" w:rsidRPr="006650D5">
        <w:rPr>
          <w:rFonts w:asciiTheme="minorHAnsi" w:eastAsiaTheme="minorHAnsi" w:hAnsiTheme="minorHAnsi" w:cstheme="minorBidi"/>
          <w:lang w:eastAsia="en-US"/>
        </w:rPr>
        <w:t xml:space="preserve"> placettes </w:t>
      </w:r>
      <w:r>
        <w:rPr>
          <w:rFonts w:asciiTheme="minorHAnsi" w:eastAsiaTheme="minorHAnsi" w:hAnsiTheme="minorHAnsi" w:cstheme="minorBidi"/>
          <w:lang w:eastAsia="en-US"/>
        </w:rPr>
        <w:t>d’étude ont été inventori</w:t>
      </w:r>
      <w:r w:rsidR="006650D5" w:rsidRPr="006650D5">
        <w:rPr>
          <w:rFonts w:asciiTheme="minorHAnsi" w:eastAsiaTheme="minorHAnsi" w:hAnsiTheme="minorHAnsi" w:cstheme="minorBidi"/>
          <w:lang w:eastAsia="en-US"/>
        </w:rPr>
        <w:t xml:space="preserve">ées </w:t>
      </w:r>
      <w:r>
        <w:rPr>
          <w:rFonts w:asciiTheme="minorHAnsi" w:eastAsiaTheme="minorHAnsi" w:hAnsiTheme="minorHAnsi" w:cstheme="minorBidi"/>
          <w:lang w:eastAsia="en-US"/>
        </w:rPr>
        <w:t xml:space="preserve">par Jean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Timbal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par prospection de façon à inventorier tous les types de sol définis par l’étude pédologique de François Le </w:t>
      </w:r>
      <w:r w:rsidR="00275D45">
        <w:rPr>
          <w:rFonts w:asciiTheme="minorHAnsi" w:eastAsiaTheme="minorHAnsi" w:hAnsiTheme="minorHAnsi" w:cstheme="minorBidi"/>
          <w:lang w:eastAsia="en-US"/>
        </w:rPr>
        <w:t>Tacon.</w:t>
      </w:r>
    </w:p>
    <w:p w:rsidR="006650D5" w:rsidRPr="006650D5" w:rsidRDefault="006650D5" w:rsidP="006650D5">
      <w:pPr>
        <w:numPr>
          <w:ilvl w:val="0"/>
          <w:numId w:val="10"/>
        </w:numPr>
        <w:spacing w:after="200" w:line="276" w:lineRule="auto"/>
        <w:ind w:left="1276" w:hanging="283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Colonne A : localisation </w:t>
      </w:r>
    </w:p>
    <w:p w:rsidR="006650D5" w:rsidRPr="006650D5" w:rsidRDefault="006650D5" w:rsidP="006650D5">
      <w:pPr>
        <w:spacing w:after="200" w:line="276" w:lineRule="auto"/>
        <w:ind w:left="1276" w:firstLine="140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>C’est la combinaison de l’abréviation de l’étude et du numéro du point de relevé.</w:t>
      </w:r>
    </w:p>
    <w:p w:rsidR="006650D5" w:rsidRPr="006650D5" w:rsidRDefault="006650D5" w:rsidP="006650D5">
      <w:pPr>
        <w:numPr>
          <w:ilvl w:val="2"/>
          <w:numId w:val="1"/>
        </w:numPr>
        <w:tabs>
          <w:tab w:val="clear" w:pos="2160"/>
          <w:tab w:val="num" w:pos="1276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>Colonne B : Placette unitaire (PAU)</w:t>
      </w:r>
    </w:p>
    <w:p w:rsidR="006650D5" w:rsidRPr="006650D5" w:rsidRDefault="006650D5" w:rsidP="006650D5">
      <w:pPr>
        <w:tabs>
          <w:tab w:val="left" w:pos="1134"/>
        </w:tabs>
        <w:spacing w:after="200" w:line="276" w:lineRule="auto"/>
        <w:ind w:left="1276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ab/>
        <w:t>Comme il n’est pas appliqué de traitement particulier à la placette unitaire, elle prend la même appellation que la localisation.</w:t>
      </w:r>
    </w:p>
    <w:p w:rsidR="00CA4E97" w:rsidRDefault="006650D5" w:rsidP="006650D5">
      <w:pPr>
        <w:numPr>
          <w:ilvl w:val="2"/>
          <w:numId w:val="1"/>
        </w:numPr>
        <w:tabs>
          <w:tab w:val="clear" w:pos="2160"/>
          <w:tab w:val="num" w:pos="1276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lastRenderedPageBreak/>
        <w:t>Colonne L : Pente</w:t>
      </w:r>
      <w:r w:rsidR="00CA4E97">
        <w:rPr>
          <w:rFonts w:asciiTheme="minorHAnsi" w:eastAsiaTheme="minorHAnsi" w:hAnsiTheme="minorHAnsi" w:cs="Arial"/>
          <w:lang w:eastAsia="en-US"/>
        </w:rPr>
        <w:t xml:space="preserve"> </w:t>
      </w:r>
    </w:p>
    <w:p w:rsidR="006650D5" w:rsidRPr="006650D5" w:rsidRDefault="00CA4E97" w:rsidP="00CA4E97">
      <w:pPr>
        <w:spacing w:after="200" w:line="276" w:lineRule="auto"/>
        <w:ind w:left="1276" w:firstLine="142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Jean </w:t>
      </w:r>
      <w:proofErr w:type="spellStart"/>
      <w:r>
        <w:rPr>
          <w:rFonts w:asciiTheme="minorHAnsi" w:eastAsiaTheme="minorHAnsi" w:hAnsiTheme="minorHAnsi" w:cs="Arial"/>
          <w:lang w:eastAsia="en-US"/>
        </w:rPr>
        <w:t>Timbal</w:t>
      </w:r>
      <w:proofErr w:type="spellEnd"/>
      <w:r>
        <w:rPr>
          <w:rFonts w:asciiTheme="minorHAnsi" w:eastAsiaTheme="minorHAnsi" w:hAnsiTheme="minorHAnsi" w:cs="Arial"/>
          <w:lang w:eastAsia="en-US"/>
        </w:rPr>
        <w:t xml:space="preserve"> a indiqué, soit une mesure d’angle, soit une estimation visuelle. Dans ce dernier cas, les angles indiqués ressortent d’une analyse spatiale effectuée par Nathalie Leroy à partir des coordonnées des placettes.</w:t>
      </w:r>
    </w:p>
    <w:p w:rsidR="006650D5" w:rsidRDefault="006650D5" w:rsidP="006650D5">
      <w:pPr>
        <w:numPr>
          <w:ilvl w:val="2"/>
          <w:numId w:val="1"/>
        </w:numPr>
        <w:tabs>
          <w:tab w:val="clear" w:pos="2160"/>
          <w:tab w:val="num" w:pos="1276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Colonne N : Exposition </w:t>
      </w:r>
    </w:p>
    <w:p w:rsidR="00CA4E97" w:rsidRPr="006650D5" w:rsidRDefault="00CA4E97" w:rsidP="00CA4E97">
      <w:pPr>
        <w:spacing w:after="200" w:line="276" w:lineRule="auto"/>
        <w:ind w:left="1276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   Elle a été indiquée par Jean </w:t>
      </w:r>
      <w:proofErr w:type="spellStart"/>
      <w:r>
        <w:rPr>
          <w:rFonts w:asciiTheme="minorHAnsi" w:eastAsiaTheme="minorHAnsi" w:hAnsiTheme="minorHAnsi" w:cs="Arial"/>
          <w:lang w:eastAsia="en-US"/>
        </w:rPr>
        <w:t>Timbal</w:t>
      </w:r>
      <w:proofErr w:type="spellEnd"/>
      <w:r>
        <w:rPr>
          <w:rFonts w:asciiTheme="minorHAnsi" w:eastAsiaTheme="minorHAnsi" w:hAnsiTheme="minorHAnsi" w:cs="Arial"/>
          <w:lang w:eastAsia="en-US"/>
        </w:rPr>
        <w:t xml:space="preserve"> par </w:t>
      </w:r>
      <w:proofErr w:type="spellStart"/>
      <w:r>
        <w:rPr>
          <w:rFonts w:asciiTheme="minorHAnsi" w:eastAsiaTheme="minorHAnsi" w:hAnsiTheme="minorHAnsi" w:cs="Arial"/>
          <w:lang w:eastAsia="en-US"/>
        </w:rPr>
        <w:t>cadrants</w:t>
      </w:r>
      <w:proofErr w:type="spellEnd"/>
      <w:r>
        <w:rPr>
          <w:rFonts w:asciiTheme="minorHAnsi" w:eastAsiaTheme="minorHAnsi" w:hAnsiTheme="minorHAnsi" w:cs="Arial"/>
          <w:lang w:eastAsia="en-US"/>
        </w:rPr>
        <w:t xml:space="preserve"> de 22,5°.</w:t>
      </w:r>
    </w:p>
    <w:p w:rsidR="006650D5" w:rsidRDefault="006650D5" w:rsidP="006650D5">
      <w:pPr>
        <w:numPr>
          <w:ilvl w:val="2"/>
          <w:numId w:val="1"/>
        </w:numPr>
        <w:tabs>
          <w:tab w:val="clear" w:pos="2160"/>
          <w:tab w:val="left" w:pos="1134"/>
          <w:tab w:val="num" w:pos="1701"/>
        </w:tabs>
        <w:spacing w:after="200" w:line="276" w:lineRule="auto"/>
        <w:ind w:left="1276" w:hanging="283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Colonne P : position topographique </w:t>
      </w:r>
    </w:p>
    <w:p w:rsidR="00CA4E97" w:rsidRPr="006650D5" w:rsidRDefault="00CA4E97" w:rsidP="00CA4E97">
      <w:pPr>
        <w:tabs>
          <w:tab w:val="left" w:pos="1134"/>
        </w:tabs>
        <w:spacing w:after="200" w:line="276" w:lineRule="auto"/>
        <w:ind w:left="1276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Jean </w:t>
      </w:r>
      <w:proofErr w:type="spellStart"/>
      <w:r>
        <w:rPr>
          <w:rFonts w:asciiTheme="minorHAnsi" w:eastAsiaTheme="minorHAnsi" w:hAnsiTheme="minorHAnsi" w:cs="Arial"/>
          <w:lang w:eastAsia="en-US"/>
        </w:rPr>
        <w:t>Timbal</w:t>
      </w:r>
      <w:proofErr w:type="spellEnd"/>
      <w:r>
        <w:rPr>
          <w:rFonts w:asciiTheme="minorHAnsi" w:eastAsiaTheme="minorHAnsi" w:hAnsiTheme="minorHAnsi" w:cs="Arial"/>
          <w:lang w:eastAsia="en-US"/>
        </w:rPr>
        <w:t xml:space="preserve"> a précisé uniquement les positions de plateau. Les autres positions indiquées résultent de l’observation du plan topographique de l’échantillon effectuée par F. </w:t>
      </w:r>
      <w:proofErr w:type="spellStart"/>
      <w:r>
        <w:rPr>
          <w:rFonts w:asciiTheme="minorHAnsi" w:eastAsiaTheme="minorHAnsi" w:hAnsiTheme="minorHAnsi" w:cs="Arial"/>
          <w:lang w:eastAsia="en-US"/>
        </w:rPr>
        <w:t>Gérémia</w:t>
      </w:r>
      <w:proofErr w:type="spellEnd"/>
      <w:r>
        <w:rPr>
          <w:rFonts w:asciiTheme="minorHAnsi" w:eastAsiaTheme="minorHAnsi" w:hAnsiTheme="minorHAnsi" w:cs="Arial"/>
          <w:lang w:eastAsia="en-US"/>
        </w:rPr>
        <w:t>.</w:t>
      </w:r>
    </w:p>
    <w:p w:rsidR="006650D5" w:rsidRPr="006650D5" w:rsidRDefault="006650D5" w:rsidP="006650D5">
      <w:pPr>
        <w:tabs>
          <w:tab w:val="left" w:pos="1134"/>
          <w:tab w:val="num" w:pos="1701"/>
        </w:tabs>
        <w:spacing w:after="200" w:line="276" w:lineRule="auto"/>
        <w:ind w:left="1276" w:hanging="283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ab/>
      </w:r>
      <w:r w:rsidRPr="006650D5">
        <w:rPr>
          <w:rFonts w:asciiTheme="minorHAnsi" w:eastAsiaTheme="minorHAnsi" w:hAnsiTheme="minorHAnsi" w:cs="Arial"/>
          <w:lang w:eastAsia="en-US"/>
        </w:rPr>
        <w:tab/>
      </w:r>
      <w:r w:rsidRPr="006650D5">
        <w:rPr>
          <w:rFonts w:asciiTheme="minorHAnsi" w:eastAsiaTheme="minorHAnsi" w:hAnsiTheme="minorHAnsi" w:cs="Arial"/>
          <w:lang w:eastAsia="en-US"/>
        </w:rPr>
        <w:tab/>
      </w:r>
    </w:p>
    <w:p w:rsidR="006650D5" w:rsidRPr="006650D5" w:rsidRDefault="006650D5" w:rsidP="006650D5">
      <w:pPr>
        <w:numPr>
          <w:ilvl w:val="0"/>
          <w:numId w:val="1"/>
        </w:numPr>
        <w:tabs>
          <w:tab w:val="clear" w:pos="720"/>
          <w:tab w:val="num" w:pos="1276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0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Peuplement :</w:t>
      </w:r>
    </w:p>
    <w:p w:rsidR="006650D5" w:rsidRPr="006650D5" w:rsidRDefault="006650D5" w:rsidP="006650D5">
      <w:pPr>
        <w:spacing w:after="200"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6650D5">
        <w:rPr>
          <w:rFonts w:ascii="Arial" w:eastAsiaTheme="minorHAnsi" w:hAnsi="Arial" w:cs="Arial"/>
          <w:lang w:eastAsia="en-US"/>
        </w:rPr>
        <w:t xml:space="preserve"> En chantier</w:t>
      </w:r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0D5" w:rsidRDefault="006650D5" w:rsidP="006650D5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0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Floristique :</w:t>
      </w:r>
    </w:p>
    <w:p w:rsidR="006650D5" w:rsidRPr="006650D5" w:rsidRDefault="006650D5" w:rsidP="006650D5">
      <w:pPr>
        <w:spacing w:after="200" w:line="276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0D5" w:rsidRDefault="006650D5" w:rsidP="006650D5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Les </w:t>
      </w:r>
      <w:r w:rsidR="007F642F">
        <w:rPr>
          <w:rFonts w:asciiTheme="minorHAnsi" w:eastAsiaTheme="minorHAnsi" w:hAnsiTheme="minorHAnsi" w:cs="Arial"/>
          <w:lang w:eastAsia="en-US"/>
        </w:rPr>
        <w:t>données floristiqu</w:t>
      </w:r>
      <w:r w:rsidR="00CE616E">
        <w:rPr>
          <w:rFonts w:asciiTheme="minorHAnsi" w:eastAsiaTheme="minorHAnsi" w:hAnsiTheme="minorHAnsi" w:cs="Arial"/>
          <w:lang w:eastAsia="en-US"/>
        </w:rPr>
        <w:t>es sont issues de la base SOPHY. Cette dernière a visiblement été alimentée à partir du tableau des relevés annexé à la thèse de Jean Timbal. Les numéros indiqués dans cette base n’indiquent pas les relevés, mais l’ordre dans lequel ils sont présentés dans ce tablea</w:t>
      </w:r>
      <w:r w:rsidR="00EE50AF">
        <w:rPr>
          <w:rFonts w:asciiTheme="minorHAnsi" w:eastAsiaTheme="minorHAnsi" w:hAnsiTheme="minorHAnsi" w:cs="Arial"/>
          <w:lang w:eastAsia="en-US"/>
        </w:rPr>
        <w:t>u. En outre, les espèces éliminées</w:t>
      </w:r>
      <w:r w:rsidR="00CE616E">
        <w:rPr>
          <w:rFonts w:asciiTheme="minorHAnsi" w:eastAsiaTheme="minorHAnsi" w:hAnsiTheme="minorHAnsi" w:cs="Arial"/>
          <w:lang w:eastAsia="en-US"/>
        </w:rPr>
        <w:t xml:space="preserve"> des analyses comme Pinus strobus et Pinus sylvestris n’apparaissent pas. En décembre</w:t>
      </w:r>
      <w:r w:rsidR="00EE50AF">
        <w:rPr>
          <w:rFonts w:asciiTheme="minorHAnsi" w:eastAsiaTheme="minorHAnsi" w:hAnsiTheme="minorHAnsi" w:cs="Arial"/>
          <w:lang w:eastAsia="en-US"/>
        </w:rPr>
        <w:t xml:space="preserve"> 2018 et janvier 2019</w:t>
      </w:r>
      <w:r w:rsidR="00CE616E">
        <w:rPr>
          <w:rFonts w:asciiTheme="minorHAnsi" w:eastAsiaTheme="minorHAnsi" w:hAnsiTheme="minorHAnsi" w:cs="Arial"/>
          <w:lang w:eastAsia="en-US"/>
        </w:rPr>
        <w:t xml:space="preserve">, F. Gérémia a </w:t>
      </w:r>
      <w:r w:rsidR="007F642F">
        <w:rPr>
          <w:rFonts w:asciiTheme="minorHAnsi" w:eastAsiaTheme="minorHAnsi" w:hAnsiTheme="minorHAnsi" w:cs="Arial"/>
          <w:lang w:eastAsia="en-US"/>
        </w:rPr>
        <w:t>vérifié et complété</w:t>
      </w:r>
      <w:r w:rsidR="00CE616E">
        <w:rPr>
          <w:rFonts w:asciiTheme="minorHAnsi" w:eastAsiaTheme="minorHAnsi" w:hAnsiTheme="minorHAnsi" w:cs="Arial"/>
          <w:lang w:eastAsia="en-US"/>
        </w:rPr>
        <w:t xml:space="preserve"> les relevés</w:t>
      </w:r>
      <w:r w:rsidR="007F642F">
        <w:rPr>
          <w:rFonts w:asciiTheme="minorHAnsi" w:eastAsiaTheme="minorHAnsi" w:hAnsiTheme="minorHAnsi" w:cs="Arial"/>
          <w:lang w:eastAsia="en-US"/>
        </w:rPr>
        <w:t xml:space="preserve"> grâce aux </w:t>
      </w:r>
      <w:r w:rsidR="00CE616E">
        <w:rPr>
          <w:rFonts w:asciiTheme="minorHAnsi" w:eastAsiaTheme="minorHAnsi" w:hAnsiTheme="minorHAnsi" w:cs="Arial"/>
          <w:lang w:eastAsia="en-US"/>
        </w:rPr>
        <w:t xml:space="preserve">carnets </w:t>
      </w:r>
      <w:r w:rsidR="007F642F">
        <w:rPr>
          <w:rFonts w:asciiTheme="minorHAnsi" w:eastAsiaTheme="minorHAnsi" w:hAnsiTheme="minorHAnsi" w:cs="Arial"/>
          <w:lang w:eastAsia="en-US"/>
        </w:rPr>
        <w:t xml:space="preserve">de terrain </w:t>
      </w:r>
      <w:r w:rsidR="00EE50AF">
        <w:rPr>
          <w:rFonts w:asciiTheme="minorHAnsi" w:eastAsiaTheme="minorHAnsi" w:hAnsiTheme="minorHAnsi" w:cs="Arial"/>
          <w:lang w:eastAsia="en-US"/>
        </w:rPr>
        <w:t>de</w:t>
      </w:r>
      <w:r w:rsidR="007F642F">
        <w:rPr>
          <w:rFonts w:asciiTheme="minorHAnsi" w:eastAsiaTheme="minorHAnsi" w:hAnsiTheme="minorHAnsi" w:cs="Arial"/>
          <w:lang w:eastAsia="en-US"/>
        </w:rPr>
        <w:t xml:space="preserve"> Jean </w:t>
      </w:r>
      <w:proofErr w:type="spellStart"/>
      <w:r w:rsidR="007F642F">
        <w:rPr>
          <w:rFonts w:asciiTheme="minorHAnsi" w:eastAsiaTheme="minorHAnsi" w:hAnsiTheme="minorHAnsi" w:cs="Arial"/>
          <w:lang w:eastAsia="en-US"/>
        </w:rPr>
        <w:t>Timbal</w:t>
      </w:r>
      <w:proofErr w:type="spellEnd"/>
      <w:r w:rsidR="007F642F">
        <w:rPr>
          <w:rFonts w:asciiTheme="minorHAnsi" w:eastAsiaTheme="minorHAnsi" w:hAnsiTheme="minorHAnsi" w:cs="Arial"/>
          <w:lang w:eastAsia="en-US"/>
        </w:rPr>
        <w:t>.</w:t>
      </w:r>
    </w:p>
    <w:p w:rsidR="006650D5" w:rsidRPr="007F642F" w:rsidRDefault="006650D5" w:rsidP="006650D5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Relevé selon la méthode Zuricho-Montpelliéraine, Braun Blanquet 1932 sur des placettes de </w:t>
      </w:r>
      <w:r w:rsidR="007F642F">
        <w:rPr>
          <w:rFonts w:asciiTheme="minorHAnsi" w:eastAsiaTheme="minorHAnsi" w:hAnsiTheme="minorHAnsi" w:cs="Arial"/>
          <w:lang w:eastAsia="en-US"/>
        </w:rPr>
        <w:t xml:space="preserve">surface variant de 100 à </w:t>
      </w:r>
      <w:r w:rsidRPr="006650D5">
        <w:rPr>
          <w:rFonts w:asciiTheme="minorHAnsi" w:eastAsiaTheme="minorHAnsi" w:hAnsiTheme="minorHAnsi" w:cs="Arial"/>
          <w:lang w:eastAsia="en-US"/>
        </w:rPr>
        <w:t>400m</w:t>
      </w:r>
      <w:r w:rsidRPr="006650D5">
        <w:rPr>
          <w:rFonts w:asciiTheme="minorHAnsi" w:eastAsiaTheme="minorHAnsi" w:hAnsiTheme="minorHAnsi" w:cs="Arial"/>
          <w:vertAlign w:val="superscript"/>
          <w:lang w:eastAsia="en-US"/>
        </w:rPr>
        <w:t>2</w:t>
      </w:r>
      <w:r w:rsidR="007F642F">
        <w:rPr>
          <w:rFonts w:asciiTheme="minorHAnsi" w:eastAsiaTheme="minorHAnsi" w:hAnsiTheme="minorHAnsi" w:cs="Arial"/>
          <w:vertAlign w:val="superscript"/>
          <w:lang w:eastAsia="en-US"/>
        </w:rPr>
        <w:t xml:space="preserve"> </w:t>
      </w:r>
      <w:r w:rsidR="007F642F" w:rsidRPr="007F642F">
        <w:rPr>
          <w:rFonts w:asciiTheme="minorHAnsi" w:eastAsiaTheme="minorHAnsi" w:hAnsiTheme="minorHAnsi" w:cs="Arial"/>
          <w:lang w:eastAsia="en-US"/>
        </w:rPr>
        <w:t xml:space="preserve">pour les secteurs à strate herbacée très </w:t>
      </w:r>
      <w:r w:rsidR="007F642F">
        <w:rPr>
          <w:rFonts w:asciiTheme="minorHAnsi" w:eastAsiaTheme="minorHAnsi" w:hAnsiTheme="minorHAnsi" w:cs="Arial"/>
          <w:lang w:eastAsia="en-US"/>
        </w:rPr>
        <w:t>rare</w:t>
      </w:r>
      <w:r w:rsidRPr="007F642F">
        <w:rPr>
          <w:rFonts w:asciiTheme="minorHAnsi" w:eastAsiaTheme="minorHAnsi" w:hAnsiTheme="minorHAnsi" w:cs="Arial"/>
          <w:lang w:eastAsia="en-US"/>
        </w:rPr>
        <w:t>.</w:t>
      </w:r>
    </w:p>
    <w:p w:rsidR="006650D5" w:rsidRDefault="006650D5" w:rsidP="006650D5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Theme="minorHAnsi" w:hAnsiTheme="minorHAnsi" w:cs="Arial"/>
          <w:lang w:eastAsia="en-US"/>
        </w:rPr>
      </w:pPr>
      <w:r w:rsidRPr="006650D5">
        <w:rPr>
          <w:rFonts w:asciiTheme="minorHAnsi" w:eastAsiaTheme="minorHAnsi" w:hAnsiTheme="minorHAnsi" w:cs="Arial"/>
          <w:lang w:eastAsia="en-US"/>
        </w:rPr>
        <w:t xml:space="preserve">Dates : </w:t>
      </w:r>
      <w:r w:rsidR="00EE50AF">
        <w:rPr>
          <w:rFonts w:asciiTheme="minorHAnsi" w:eastAsiaTheme="minorHAnsi" w:hAnsiTheme="minorHAnsi" w:cs="Arial"/>
          <w:lang w:eastAsia="en-US"/>
        </w:rPr>
        <w:t>les 183</w:t>
      </w:r>
      <w:r w:rsidR="007F642F">
        <w:rPr>
          <w:rFonts w:asciiTheme="minorHAnsi" w:eastAsiaTheme="minorHAnsi" w:hAnsiTheme="minorHAnsi" w:cs="Arial"/>
          <w:lang w:eastAsia="en-US"/>
        </w:rPr>
        <w:t xml:space="preserve"> relevés ont été effectués au mois de juillet 1967</w:t>
      </w:r>
      <w:r w:rsidRPr="006650D5">
        <w:rPr>
          <w:rFonts w:asciiTheme="minorHAnsi" w:eastAsiaTheme="minorHAnsi" w:hAnsiTheme="minorHAnsi" w:cs="Arial"/>
          <w:lang w:eastAsia="en-US"/>
        </w:rPr>
        <w:t>.</w:t>
      </w:r>
    </w:p>
    <w:p w:rsidR="00524E9F" w:rsidRPr="006650D5" w:rsidRDefault="00300CBE" w:rsidP="006650D5">
      <w:pPr>
        <w:numPr>
          <w:ilvl w:val="0"/>
          <w:numId w:val="7"/>
        </w:numPr>
        <w:spacing w:after="200" w:line="276" w:lineRule="auto"/>
        <w:jc w:val="both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Singularités : </w:t>
      </w:r>
      <w:r w:rsidR="00994245">
        <w:rPr>
          <w:rFonts w:asciiTheme="minorHAnsi" w:eastAsiaTheme="minorHAnsi" w:hAnsiTheme="minorHAnsi" w:cs="Arial"/>
          <w:lang w:eastAsia="en-US"/>
        </w:rPr>
        <w:t xml:space="preserve">Elles concernent les plantes poussant sur les chemins, </w:t>
      </w:r>
      <w:r w:rsidR="00524E9F">
        <w:rPr>
          <w:rFonts w:asciiTheme="minorHAnsi" w:eastAsiaTheme="minorHAnsi" w:hAnsiTheme="minorHAnsi" w:cs="Arial"/>
          <w:lang w:eastAsia="en-US"/>
        </w:rPr>
        <w:t>à proximité</w:t>
      </w:r>
      <w:r w:rsidR="00994245">
        <w:rPr>
          <w:rFonts w:asciiTheme="minorHAnsi" w:eastAsiaTheme="minorHAnsi" w:hAnsiTheme="minorHAnsi" w:cs="Arial"/>
          <w:lang w:eastAsia="en-US"/>
        </w:rPr>
        <w:t xml:space="preserve"> du relevé, ou, pour l’épicéa, issus de plantation.</w:t>
      </w:r>
    </w:p>
    <w:p w:rsidR="006650D5" w:rsidRPr="006650D5" w:rsidRDefault="006650D5" w:rsidP="006650D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proofErr w:type="gramStart"/>
      <w:r w:rsidRPr="006650D5">
        <w:rPr>
          <w:rFonts w:asciiTheme="minorHAnsi" w:eastAsiaTheme="minorHAnsi" w:hAnsiTheme="minorHAnsi" w:cs="Arial"/>
          <w:lang w:eastAsia="en-US"/>
        </w:rPr>
        <w:t>strates</w:t>
      </w:r>
      <w:proofErr w:type="gramEnd"/>
      <w:r w:rsidRPr="006650D5">
        <w:rPr>
          <w:rFonts w:asciiTheme="minorHAnsi" w:eastAsiaTheme="minorHAnsi" w:hAnsiTheme="minorHAnsi" w:cs="Arial"/>
          <w:lang w:eastAsia="en-US"/>
        </w:rPr>
        <w:t xml:space="preserve"> utilisées : </w:t>
      </w: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4819"/>
        <w:gridCol w:w="690"/>
      </w:tblGrid>
      <w:tr w:rsidR="007B0831" w:rsidRPr="006650D5" w:rsidTr="004E3623"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lastRenderedPageBreak/>
              <w:t>Intitulé strate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définition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jc w:val="center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code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Ligneux &gt; 7m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A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7B0831" w:rsidRPr="006650D5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arborescente haute</w:t>
            </w:r>
          </w:p>
        </w:tc>
        <w:tc>
          <w:tcPr>
            <w:tcW w:w="0" w:type="auto"/>
            <w:shd w:val="clear" w:color="auto" w:fill="auto"/>
          </w:tcPr>
          <w:p w:rsidR="007B0831" w:rsidRPr="006650D5" w:rsidRDefault="00DC6E5E" w:rsidP="00DC6E5E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Strate supérieure d’une strate arborescente à 2 niveaux</w:t>
            </w:r>
          </w:p>
        </w:tc>
        <w:tc>
          <w:tcPr>
            <w:tcW w:w="0" w:type="auto"/>
            <w:shd w:val="clear" w:color="auto" w:fill="auto"/>
          </w:tcPr>
          <w:p w:rsidR="007B0831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A1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7B0831" w:rsidRPr="006650D5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arborescente basse</w:t>
            </w:r>
          </w:p>
        </w:tc>
        <w:tc>
          <w:tcPr>
            <w:tcW w:w="0" w:type="auto"/>
            <w:shd w:val="clear" w:color="auto" w:fill="auto"/>
          </w:tcPr>
          <w:p w:rsidR="007B0831" w:rsidRPr="006650D5" w:rsidRDefault="00DC6E5E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Strate inférieure d’une strate arborescente à 2 niveaux</w:t>
            </w:r>
          </w:p>
        </w:tc>
        <w:tc>
          <w:tcPr>
            <w:tcW w:w="0" w:type="auto"/>
            <w:shd w:val="clear" w:color="auto" w:fill="auto"/>
          </w:tcPr>
          <w:p w:rsidR="007B0831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A2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arbustive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Ligneux &gt; 50cm et &lt; 7m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EE50AF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B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7B0831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arbustive haute</w:t>
            </w:r>
          </w:p>
        </w:tc>
        <w:tc>
          <w:tcPr>
            <w:tcW w:w="0" w:type="auto"/>
            <w:shd w:val="clear" w:color="auto" w:fill="auto"/>
          </w:tcPr>
          <w:p w:rsidR="007B0831" w:rsidRDefault="00DC6E5E" w:rsidP="00DC6E5E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Strate supérieure d’une strate arbustive à 2 niveaux</w:t>
            </w:r>
          </w:p>
        </w:tc>
        <w:tc>
          <w:tcPr>
            <w:tcW w:w="0" w:type="auto"/>
            <w:shd w:val="clear" w:color="auto" w:fill="auto"/>
          </w:tcPr>
          <w:p w:rsidR="007B0831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B1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7B0831" w:rsidRDefault="00595792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</w:t>
            </w:r>
            <w:r w:rsidR="007B0831">
              <w:rPr>
                <w:rFonts w:asciiTheme="minorHAnsi" w:eastAsiaTheme="minorHAnsi" w:hAnsiTheme="minorHAnsi" w:cs="Arial"/>
                <w:lang w:eastAsia="en-US"/>
              </w:rPr>
              <w:t>rbustive basse</w:t>
            </w:r>
          </w:p>
        </w:tc>
        <w:tc>
          <w:tcPr>
            <w:tcW w:w="0" w:type="auto"/>
            <w:shd w:val="clear" w:color="auto" w:fill="auto"/>
          </w:tcPr>
          <w:p w:rsidR="007B0831" w:rsidRDefault="00DC6E5E" w:rsidP="00EE50AF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Strate inf</w:t>
            </w:r>
            <w:r w:rsidRPr="00DC6E5E">
              <w:rPr>
                <w:rFonts w:asciiTheme="minorHAnsi" w:eastAsiaTheme="minorHAnsi" w:hAnsiTheme="minorHAnsi" w:cs="Arial"/>
                <w:lang w:eastAsia="en-US"/>
              </w:rPr>
              <w:t>érieure d’une strate arbustive à 2 niveaux</w:t>
            </w:r>
          </w:p>
        </w:tc>
        <w:tc>
          <w:tcPr>
            <w:tcW w:w="0" w:type="auto"/>
            <w:shd w:val="clear" w:color="auto" w:fill="auto"/>
          </w:tcPr>
          <w:p w:rsidR="007B0831" w:rsidRDefault="007B0831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B2</w:t>
            </w:r>
          </w:p>
        </w:tc>
      </w:tr>
      <w:tr w:rsidR="00595792" w:rsidRPr="006650D5" w:rsidTr="004E3623">
        <w:tc>
          <w:tcPr>
            <w:tcW w:w="0" w:type="auto"/>
            <w:shd w:val="clear" w:color="auto" w:fill="auto"/>
          </w:tcPr>
          <w:p w:rsidR="00595792" w:rsidRDefault="00595792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arbustive et/ou herbacée</w:t>
            </w:r>
          </w:p>
        </w:tc>
        <w:tc>
          <w:tcPr>
            <w:tcW w:w="0" w:type="auto"/>
            <w:shd w:val="clear" w:color="auto" w:fill="auto"/>
          </w:tcPr>
          <w:p w:rsidR="00595792" w:rsidRDefault="00DC6E5E" w:rsidP="00DC6E5E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Pour Rubus </w:t>
            </w:r>
            <w:proofErr w:type="spellStart"/>
            <w:r>
              <w:rPr>
                <w:rFonts w:asciiTheme="minorHAnsi" w:eastAsiaTheme="minorHAnsi" w:hAnsiTheme="minorHAnsi" w:cs="Arial"/>
                <w:lang w:eastAsia="en-US"/>
              </w:rPr>
              <w:t>fruticosus</w:t>
            </w:r>
            <w:proofErr w:type="spellEnd"/>
            <w:r>
              <w:rPr>
                <w:rFonts w:asciiTheme="minorHAnsi" w:eastAsiaTheme="minorHAnsi" w:hAnsiTheme="minorHAnsi" w:cs="Arial"/>
                <w:lang w:eastAsia="en-US"/>
              </w:rPr>
              <w:t xml:space="preserve"> et Vaccinium </w:t>
            </w:r>
            <w:proofErr w:type="spellStart"/>
            <w:r>
              <w:rPr>
                <w:rFonts w:asciiTheme="minorHAnsi" w:eastAsiaTheme="minorHAnsi" w:hAnsiTheme="minorHAnsi" w:cs="Arial"/>
                <w:lang w:eastAsia="en-US"/>
              </w:rPr>
              <w:t>myrtillus</w:t>
            </w:r>
            <w:proofErr w:type="spellEnd"/>
            <w:r>
              <w:rPr>
                <w:rFonts w:asciiTheme="minorHAnsi" w:eastAsiaTheme="minorHAnsi" w:hAnsiTheme="minorHAnsi" w:cs="Arial"/>
                <w:lang w:eastAsia="en-US"/>
              </w:rPr>
              <w:t>, entre 0 et 2 m de haut</w:t>
            </w:r>
          </w:p>
        </w:tc>
        <w:tc>
          <w:tcPr>
            <w:tcW w:w="0" w:type="auto"/>
            <w:shd w:val="clear" w:color="auto" w:fill="auto"/>
          </w:tcPr>
          <w:p w:rsidR="00595792" w:rsidRDefault="00DC6E5E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B/H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EE50AF" w:rsidRPr="006650D5" w:rsidRDefault="00595792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l</w:t>
            </w:r>
            <w:r w:rsidR="00EE50AF">
              <w:rPr>
                <w:rFonts w:asciiTheme="minorHAnsi" w:eastAsiaTheme="minorHAnsi" w:hAnsiTheme="minorHAnsi" w:cs="Arial"/>
                <w:lang w:eastAsia="en-US"/>
              </w:rPr>
              <w:t>igneux herbacés</w:t>
            </w:r>
          </w:p>
        </w:tc>
        <w:tc>
          <w:tcPr>
            <w:tcW w:w="0" w:type="auto"/>
            <w:shd w:val="clear" w:color="auto" w:fill="auto"/>
          </w:tcPr>
          <w:p w:rsidR="00EE50AF" w:rsidRPr="006650D5" w:rsidRDefault="00EE50AF" w:rsidP="00EE50AF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Ligneux de hauteur inférieure à 50 cm y compris les semis de l’année</w:t>
            </w:r>
          </w:p>
        </w:tc>
        <w:tc>
          <w:tcPr>
            <w:tcW w:w="0" w:type="auto"/>
            <w:shd w:val="clear" w:color="auto" w:fill="auto"/>
          </w:tcPr>
          <w:p w:rsidR="00EE50AF" w:rsidRDefault="00EE50AF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H/G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herbacée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Ligneux &lt; 50 cm et herbacées de toutes hauteurs</w:t>
            </w:r>
            <w:r w:rsidR="00DC6E5E">
              <w:rPr>
                <w:rFonts w:asciiTheme="minorHAnsi" w:eastAsiaTheme="minorHAnsi" w:hAnsiTheme="minorHAnsi" w:cs="Arial"/>
                <w:lang w:eastAsia="en-US"/>
              </w:rPr>
              <w:t>, y compris les</w:t>
            </w:r>
            <w:r w:rsidR="00DC6E5E">
              <w:t xml:space="preserve"> </w:t>
            </w:r>
            <w:r w:rsidR="00DC6E5E" w:rsidRPr="00DC6E5E">
              <w:rPr>
                <w:rFonts w:asciiTheme="minorHAnsi" w:eastAsiaTheme="minorHAnsi" w:hAnsiTheme="minorHAnsi" w:cs="Arial"/>
                <w:lang w:eastAsia="en-US"/>
              </w:rPr>
              <w:t>bryophytes humicoles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EE50AF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H</w:t>
            </w:r>
          </w:p>
        </w:tc>
      </w:tr>
      <w:tr w:rsidR="007B0831" w:rsidRPr="006650D5" w:rsidTr="004E3623"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indéterminée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Ligneux pouvant se trouver dans n’importe quelle strate</w:t>
            </w:r>
          </w:p>
        </w:tc>
        <w:tc>
          <w:tcPr>
            <w:tcW w:w="0" w:type="auto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?</w:t>
            </w:r>
          </w:p>
        </w:tc>
      </w:tr>
    </w:tbl>
    <w:p w:rsidR="009A13F1" w:rsidRDefault="009A13F1" w:rsidP="009A13F1">
      <w:pPr>
        <w:spacing w:after="200" w:line="276" w:lineRule="auto"/>
        <w:ind w:left="2136"/>
        <w:contextualSpacing/>
        <w:jc w:val="both"/>
        <w:rPr>
          <w:rFonts w:asciiTheme="minorHAnsi" w:eastAsiaTheme="minorHAnsi" w:hAnsiTheme="minorHAnsi" w:cs="Arial"/>
          <w:lang w:eastAsia="en-US"/>
        </w:rPr>
      </w:pPr>
    </w:p>
    <w:p w:rsidR="006650D5" w:rsidRPr="006650D5" w:rsidRDefault="006650D5" w:rsidP="006650D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eastAsiaTheme="minorHAnsi" w:hAnsiTheme="minorHAnsi" w:cs="Arial"/>
          <w:lang w:eastAsia="en-US"/>
        </w:rPr>
      </w:pPr>
      <w:proofErr w:type="gramStart"/>
      <w:r w:rsidRPr="006650D5">
        <w:rPr>
          <w:rFonts w:asciiTheme="minorHAnsi" w:eastAsiaTheme="minorHAnsi" w:hAnsiTheme="minorHAnsi" w:cs="Arial"/>
          <w:lang w:eastAsia="en-US"/>
        </w:rPr>
        <w:t>coefficients</w:t>
      </w:r>
      <w:proofErr w:type="gramEnd"/>
      <w:r w:rsidRPr="006650D5">
        <w:rPr>
          <w:rFonts w:asciiTheme="minorHAnsi" w:eastAsiaTheme="minorHAnsi" w:hAnsiTheme="minorHAnsi" w:cs="Arial"/>
          <w:lang w:eastAsia="en-US"/>
        </w:rPr>
        <w:t xml:space="preserve"> utilisés :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6906"/>
      </w:tblGrid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coefficient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définition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+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rare que l’on peut éventuellement manquer.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1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de recouvrement &lt; 5% de la surface du relevé et que l’on ne peut pas manquer.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2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très abondante couvrant moins de 5% de la surface, ou couvrant entre 5 et 25 % de la surface du relevé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3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couvrant entre 25 et 50% de la surface du relevé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4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couvrant entre 50 et 75% de la surface du relevé</w:t>
            </w:r>
          </w:p>
        </w:tc>
      </w:tr>
      <w:tr w:rsidR="006650D5" w:rsidRPr="006650D5" w:rsidTr="004E3623">
        <w:tc>
          <w:tcPr>
            <w:tcW w:w="1248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5</w:t>
            </w:r>
          </w:p>
        </w:tc>
        <w:tc>
          <w:tcPr>
            <w:tcW w:w="6906" w:type="dxa"/>
            <w:shd w:val="clear" w:color="auto" w:fill="auto"/>
          </w:tcPr>
          <w:p w:rsidR="006650D5" w:rsidRPr="006650D5" w:rsidRDefault="006650D5" w:rsidP="006650D5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6650D5">
              <w:rPr>
                <w:rFonts w:asciiTheme="minorHAnsi" w:eastAsiaTheme="minorHAnsi" w:hAnsiTheme="minorHAnsi" w:cs="Arial"/>
                <w:lang w:eastAsia="en-US"/>
              </w:rPr>
              <w:t>Espèce couvrant entre 75 et 100% de la surface du relevé</w:t>
            </w:r>
          </w:p>
        </w:tc>
      </w:tr>
    </w:tbl>
    <w:p w:rsidR="00295CE8" w:rsidRDefault="00295CE8" w:rsidP="006650D5">
      <w:pPr>
        <w:spacing w:after="200" w:line="276" w:lineRule="auto"/>
        <w:ind w:left="2136"/>
        <w:contextualSpacing/>
        <w:jc w:val="both"/>
        <w:rPr>
          <w:rFonts w:asciiTheme="minorHAnsi" w:eastAsiaTheme="minorHAnsi" w:hAnsiTheme="minorHAnsi" w:cs="Arial"/>
          <w:lang w:eastAsia="en-US"/>
        </w:rPr>
      </w:pPr>
    </w:p>
    <w:p w:rsidR="009A13F1" w:rsidRDefault="009A13F1" w:rsidP="009A13F1">
      <w:pPr>
        <w:pStyle w:val="Paragraphedeliste"/>
        <w:numPr>
          <w:ilvl w:val="0"/>
          <w:numId w:val="12"/>
        </w:numPr>
        <w:spacing w:after="200" w:line="276" w:lineRule="auto"/>
        <w:jc w:val="both"/>
        <w:rPr>
          <w:rFonts w:asciiTheme="minorHAnsi" w:eastAsiaTheme="minorHAnsi" w:hAnsiTheme="minorHAnsi" w:cs="Arial"/>
          <w:lang w:eastAsia="en-US"/>
        </w:rPr>
      </w:pPr>
      <w:proofErr w:type="gramStart"/>
      <w:r>
        <w:rPr>
          <w:rFonts w:asciiTheme="minorHAnsi" w:eastAsiaTheme="minorHAnsi" w:hAnsiTheme="minorHAnsi" w:cs="Arial"/>
          <w:lang w:eastAsia="en-US"/>
        </w:rPr>
        <w:t>recouvrement</w:t>
      </w:r>
      <w:proofErr w:type="gramEnd"/>
      <w:r>
        <w:rPr>
          <w:rFonts w:asciiTheme="minorHAnsi" w:eastAsiaTheme="minorHAnsi" w:hAnsiTheme="minorHAnsi" w:cs="Arial"/>
          <w:lang w:eastAsia="en-US"/>
        </w:rPr>
        <w:t xml:space="preserve"> : </w:t>
      </w:r>
    </w:p>
    <w:p w:rsidR="006650D5" w:rsidRPr="009A13F1" w:rsidRDefault="009A13F1" w:rsidP="009A13F1">
      <w:pPr>
        <w:spacing w:after="200" w:line="276" w:lineRule="auto"/>
        <w:ind w:left="1416" w:firstLine="708"/>
        <w:jc w:val="both"/>
        <w:rPr>
          <w:rFonts w:asciiTheme="minorHAnsi" w:eastAsiaTheme="minorHAnsi" w:hAnsiTheme="minorHAnsi" w:cs="Arial"/>
          <w:lang w:eastAsia="en-US"/>
        </w:rPr>
      </w:pPr>
      <w:r w:rsidRPr="009A13F1">
        <w:rPr>
          <w:rFonts w:asciiTheme="minorHAnsi" w:eastAsiaTheme="minorHAnsi" w:hAnsiTheme="minorHAnsi" w:cs="Arial"/>
          <w:lang w:eastAsia="en-US"/>
        </w:rPr>
        <w:t>ATTENTION :</w:t>
      </w:r>
      <w:r w:rsidR="00AB7B49">
        <w:rPr>
          <w:rFonts w:asciiTheme="minorHAnsi" w:eastAsiaTheme="minorHAnsi" w:hAnsiTheme="minorHAnsi" w:cs="Arial"/>
          <w:lang w:eastAsia="en-US"/>
        </w:rPr>
        <w:t xml:space="preserve"> </w:t>
      </w:r>
      <w:bookmarkStart w:id="0" w:name="_GoBack"/>
      <w:bookmarkEnd w:id="0"/>
      <w:r w:rsidR="001A5F74" w:rsidRPr="009A13F1">
        <w:rPr>
          <w:rFonts w:asciiTheme="minorHAnsi" w:eastAsiaTheme="minorHAnsi" w:hAnsiTheme="minorHAnsi" w:cs="Arial"/>
          <w:lang w:eastAsia="en-US"/>
        </w:rPr>
        <w:t>Les recouvrement</w:t>
      </w:r>
      <w:r>
        <w:rPr>
          <w:rFonts w:asciiTheme="minorHAnsi" w:eastAsiaTheme="minorHAnsi" w:hAnsiTheme="minorHAnsi" w:cs="Arial"/>
          <w:lang w:eastAsia="en-US"/>
        </w:rPr>
        <w:t>s</w:t>
      </w:r>
      <w:r w:rsidR="001A5F74" w:rsidRPr="009A13F1">
        <w:rPr>
          <w:rFonts w:asciiTheme="minorHAnsi" w:eastAsiaTheme="minorHAnsi" w:hAnsiTheme="minorHAnsi" w:cs="Arial"/>
          <w:lang w:eastAsia="en-US"/>
        </w:rPr>
        <w:t xml:space="preserve"> des strates (%) exc</w:t>
      </w:r>
      <w:r w:rsidR="00251EEC">
        <w:rPr>
          <w:rFonts w:asciiTheme="minorHAnsi" w:eastAsiaTheme="minorHAnsi" w:hAnsiTheme="minorHAnsi" w:cs="Arial"/>
          <w:lang w:eastAsia="en-US"/>
        </w:rPr>
        <w:t>èdent la somme des coefficients ; mais en absence de méthode pour les corriger, ce sont les valeurs relevées sur le terrain qui ont été intégrées dans la base.</w:t>
      </w:r>
    </w:p>
    <w:p w:rsidR="006650D5" w:rsidRPr="006650D5" w:rsidRDefault="006650D5" w:rsidP="006650D5">
      <w:pPr>
        <w:numPr>
          <w:ilvl w:val="0"/>
          <w:numId w:val="8"/>
        </w:numPr>
        <w:tabs>
          <w:tab w:val="left" w:pos="709"/>
        </w:tabs>
        <w:spacing w:after="200" w:line="276" w:lineRule="auto"/>
        <w:ind w:left="1276" w:hanging="283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0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Pédologie :</w:t>
      </w:r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0D5" w:rsidRDefault="00251EEC" w:rsidP="00251EEC">
      <w:pPr>
        <w:spacing w:after="200" w:line="276" w:lineRule="auto"/>
        <w:ind w:left="1416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chantier</w:t>
      </w:r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0D5" w:rsidRDefault="006650D5" w:rsidP="006650D5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0D5" w:rsidRPr="00665D2A" w:rsidRDefault="006650D5" w:rsidP="00665D2A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65D2A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Publications : </w:t>
      </w:r>
    </w:p>
    <w:p w:rsidR="0026797A" w:rsidRPr="0026797A" w:rsidRDefault="00895E46" w:rsidP="00895E46">
      <w:pPr>
        <w:autoSpaceDE w:val="0"/>
        <w:autoSpaceDN w:val="0"/>
        <w:adjustRightInd w:val="0"/>
        <w:rPr>
          <w:rFonts w:asciiTheme="minorHAnsi" w:eastAsiaTheme="minorHAnsi" w:hAnsiTheme="minorHAnsi" w:cs="TimesNewRoman"/>
          <w:lang w:eastAsia="en-US"/>
        </w:rPr>
      </w:pPr>
      <w:r>
        <w:rPr>
          <w:rFonts w:asciiTheme="minorHAnsi" w:eastAsiaTheme="minorHAnsi" w:hAnsiTheme="minorHAnsi" w:cs="TimesNewRoman"/>
          <w:lang w:eastAsia="en-US"/>
        </w:rPr>
        <w:t>TIMBAL J. (1967</w:t>
      </w:r>
      <w:r w:rsidR="0026797A" w:rsidRPr="0026797A">
        <w:rPr>
          <w:rFonts w:asciiTheme="minorHAnsi" w:eastAsiaTheme="minorHAnsi" w:hAnsiTheme="minorHAnsi" w:cs="TimesNewRoman"/>
          <w:lang w:eastAsia="en-US"/>
        </w:rPr>
        <w:t xml:space="preserve">). </w:t>
      </w:r>
      <w:r>
        <w:rPr>
          <w:rFonts w:asciiTheme="minorHAnsi" w:eastAsiaTheme="minorHAnsi" w:hAnsiTheme="minorHAnsi" w:cs="TimesNewRoman"/>
          <w:lang w:eastAsia="en-US"/>
        </w:rPr>
        <w:t>Contribution à l’étude des associations forestières de la forêt de Sainte-Hélène (Vosges)</w:t>
      </w:r>
      <w:r w:rsidR="0026797A" w:rsidRPr="0026797A">
        <w:rPr>
          <w:rFonts w:asciiTheme="minorHAnsi" w:eastAsiaTheme="minorHAnsi" w:hAnsiTheme="minorHAnsi" w:cs="TimesNewRoman"/>
          <w:lang w:eastAsia="en-US"/>
        </w:rPr>
        <w:t xml:space="preserve">, </w:t>
      </w:r>
      <w:r>
        <w:rPr>
          <w:rFonts w:asciiTheme="minorHAnsi" w:eastAsiaTheme="minorHAnsi" w:hAnsiTheme="minorHAnsi" w:cs="TimesNewRoman"/>
          <w:lang w:eastAsia="en-US"/>
        </w:rPr>
        <w:t>Faculté des Sciences d’Orsay, 101</w:t>
      </w:r>
      <w:r w:rsidR="0026797A" w:rsidRPr="0026797A">
        <w:rPr>
          <w:rFonts w:asciiTheme="minorHAnsi" w:eastAsiaTheme="minorHAnsi" w:hAnsiTheme="minorHAnsi" w:cs="TimesNewRoman"/>
          <w:lang w:eastAsia="en-US"/>
        </w:rPr>
        <w:t xml:space="preserve"> p</w:t>
      </w:r>
      <w:r>
        <w:rPr>
          <w:rFonts w:asciiTheme="minorHAnsi" w:eastAsiaTheme="minorHAnsi" w:hAnsiTheme="minorHAnsi" w:cs="TimesNewRoman"/>
          <w:lang w:eastAsia="en-US"/>
        </w:rPr>
        <w:t xml:space="preserve"> +annexes</w:t>
      </w:r>
    </w:p>
    <w:p w:rsidR="0026797A" w:rsidRDefault="0026797A" w:rsidP="006650D5">
      <w:pPr>
        <w:spacing w:after="200" w:line="276" w:lineRule="auto"/>
        <w:ind w:firstLine="284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895E46" w:rsidRPr="0026797A" w:rsidRDefault="00895E46" w:rsidP="00895E46">
      <w:pPr>
        <w:autoSpaceDE w:val="0"/>
        <w:autoSpaceDN w:val="0"/>
        <w:adjustRightInd w:val="0"/>
        <w:rPr>
          <w:rFonts w:asciiTheme="minorHAnsi" w:eastAsiaTheme="minorHAnsi" w:hAnsiTheme="minorHAnsi" w:cs="TimesNewRoman"/>
          <w:lang w:eastAsia="en-US"/>
        </w:rPr>
      </w:pPr>
      <w:r>
        <w:rPr>
          <w:rFonts w:asciiTheme="minorHAnsi" w:eastAsiaTheme="minorHAnsi" w:hAnsiTheme="minorHAnsi" w:cs="TimesNewRoman"/>
          <w:lang w:eastAsia="en-US"/>
        </w:rPr>
        <w:t>TIMBAL J. (1973</w:t>
      </w:r>
      <w:r w:rsidRPr="0026797A">
        <w:rPr>
          <w:rFonts w:asciiTheme="minorHAnsi" w:eastAsiaTheme="minorHAnsi" w:hAnsiTheme="minorHAnsi" w:cs="TimesNewRoman"/>
          <w:lang w:eastAsia="en-US"/>
        </w:rPr>
        <w:t xml:space="preserve">). </w:t>
      </w:r>
      <w:r>
        <w:rPr>
          <w:rFonts w:asciiTheme="minorHAnsi" w:eastAsiaTheme="minorHAnsi" w:hAnsiTheme="minorHAnsi" w:cs="TimesNewRoman"/>
          <w:lang w:eastAsia="en-US"/>
        </w:rPr>
        <w:t>La végétation de la forêt de Sainte-Hélène (Vosges)</w:t>
      </w:r>
      <w:r w:rsidRPr="0026797A">
        <w:rPr>
          <w:rFonts w:asciiTheme="minorHAnsi" w:eastAsiaTheme="minorHAnsi" w:hAnsiTheme="minorHAnsi" w:cs="TimesNewRoman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="TimesNewRoman"/>
          <w:lang w:eastAsia="en-US"/>
        </w:rPr>
        <w:t>Vegetatio</w:t>
      </w:r>
      <w:proofErr w:type="spellEnd"/>
      <w:r>
        <w:rPr>
          <w:rFonts w:asciiTheme="minorHAnsi" w:eastAsiaTheme="minorHAnsi" w:hAnsiTheme="minorHAnsi" w:cs="TimesNewRoman"/>
          <w:lang w:eastAsia="en-US"/>
        </w:rPr>
        <w:t xml:space="preserve"> Vol. 27 </w:t>
      </w:r>
      <w:r>
        <w:rPr>
          <w:rFonts w:ascii="Arial Narrow" w:hAnsi="Arial Narrow"/>
          <w:sz w:val="22"/>
          <w:szCs w:val="22"/>
          <w:lang w:val="en-GB"/>
        </w:rPr>
        <w:t>: 267-321</w:t>
      </w:r>
    </w:p>
    <w:p w:rsidR="0026797A" w:rsidRPr="006650D5" w:rsidRDefault="0026797A" w:rsidP="00895E4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6797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https://link.springer.com/article/10.1007%2FBF02387328</w:t>
      </w:r>
    </w:p>
    <w:sectPr w:rsidR="0026797A" w:rsidRPr="006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EF0"/>
    <w:multiLevelType w:val="hybridMultilevel"/>
    <w:tmpl w:val="32A8B740"/>
    <w:lvl w:ilvl="0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1B60689A"/>
    <w:multiLevelType w:val="hybridMultilevel"/>
    <w:tmpl w:val="590EE218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0F1"/>
    <w:multiLevelType w:val="hybridMultilevel"/>
    <w:tmpl w:val="42A2D608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43D6D8E"/>
    <w:multiLevelType w:val="hybridMultilevel"/>
    <w:tmpl w:val="62002E0A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C5460A"/>
    <w:multiLevelType w:val="hybridMultilevel"/>
    <w:tmpl w:val="70607136"/>
    <w:lvl w:ilvl="0" w:tplc="72AE0696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7A0D94"/>
    <w:multiLevelType w:val="hybridMultilevel"/>
    <w:tmpl w:val="5F56F3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F2F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3190"/>
    <w:multiLevelType w:val="hybridMultilevel"/>
    <w:tmpl w:val="4B568780"/>
    <w:lvl w:ilvl="0" w:tplc="040C0003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10" w15:restartNumberingAfterBreak="0">
    <w:nsid w:val="43624BAE"/>
    <w:multiLevelType w:val="hybridMultilevel"/>
    <w:tmpl w:val="E30A803C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910C1"/>
    <w:multiLevelType w:val="hybridMultilevel"/>
    <w:tmpl w:val="C8281E02"/>
    <w:lvl w:ilvl="0" w:tplc="B2EA5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13641"/>
    <w:multiLevelType w:val="hybridMultilevel"/>
    <w:tmpl w:val="27E03B96"/>
    <w:lvl w:ilvl="0" w:tplc="B2EA5C0A">
      <w:start w:val="1"/>
      <w:numFmt w:val="bullet"/>
      <w:lvlText w:val="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C7"/>
    <w:rsid w:val="00013E25"/>
    <w:rsid w:val="00026485"/>
    <w:rsid w:val="000D78F5"/>
    <w:rsid w:val="00105B81"/>
    <w:rsid w:val="001173FB"/>
    <w:rsid w:val="00174147"/>
    <w:rsid w:val="001A4F19"/>
    <w:rsid w:val="001A5F74"/>
    <w:rsid w:val="0023626F"/>
    <w:rsid w:val="00251EEC"/>
    <w:rsid w:val="00257B83"/>
    <w:rsid w:val="00261C24"/>
    <w:rsid w:val="0026797A"/>
    <w:rsid w:val="00275D45"/>
    <w:rsid w:val="00295CE8"/>
    <w:rsid w:val="002A1DD2"/>
    <w:rsid w:val="002C66BA"/>
    <w:rsid w:val="00300CBE"/>
    <w:rsid w:val="0030365A"/>
    <w:rsid w:val="00313C36"/>
    <w:rsid w:val="003361DA"/>
    <w:rsid w:val="003563D1"/>
    <w:rsid w:val="00371C0F"/>
    <w:rsid w:val="00397B4D"/>
    <w:rsid w:val="003E3646"/>
    <w:rsid w:val="00403E25"/>
    <w:rsid w:val="00450978"/>
    <w:rsid w:val="00474131"/>
    <w:rsid w:val="00524E9F"/>
    <w:rsid w:val="005519CE"/>
    <w:rsid w:val="00562666"/>
    <w:rsid w:val="00595792"/>
    <w:rsid w:val="005E61AB"/>
    <w:rsid w:val="00640028"/>
    <w:rsid w:val="00647755"/>
    <w:rsid w:val="00661338"/>
    <w:rsid w:val="006650D5"/>
    <w:rsid w:val="00665D2A"/>
    <w:rsid w:val="006723BD"/>
    <w:rsid w:val="00694B02"/>
    <w:rsid w:val="006D3A66"/>
    <w:rsid w:val="006D7968"/>
    <w:rsid w:val="00751D19"/>
    <w:rsid w:val="00760B9A"/>
    <w:rsid w:val="007B0831"/>
    <w:rsid w:val="007E1BCA"/>
    <w:rsid w:val="007F1987"/>
    <w:rsid w:val="007F642F"/>
    <w:rsid w:val="00800F93"/>
    <w:rsid w:val="0080154E"/>
    <w:rsid w:val="00803E74"/>
    <w:rsid w:val="008257A2"/>
    <w:rsid w:val="0083096F"/>
    <w:rsid w:val="00835094"/>
    <w:rsid w:val="008356DB"/>
    <w:rsid w:val="00841D9D"/>
    <w:rsid w:val="00843857"/>
    <w:rsid w:val="00872213"/>
    <w:rsid w:val="00895E46"/>
    <w:rsid w:val="008F56CA"/>
    <w:rsid w:val="00903451"/>
    <w:rsid w:val="00934479"/>
    <w:rsid w:val="00946CE2"/>
    <w:rsid w:val="009754D9"/>
    <w:rsid w:val="00994245"/>
    <w:rsid w:val="009A13F1"/>
    <w:rsid w:val="009F4194"/>
    <w:rsid w:val="00AB5A58"/>
    <w:rsid w:val="00AB7B49"/>
    <w:rsid w:val="00AE4580"/>
    <w:rsid w:val="00B85D4D"/>
    <w:rsid w:val="00BB2AF5"/>
    <w:rsid w:val="00BB69C7"/>
    <w:rsid w:val="00BD6E89"/>
    <w:rsid w:val="00C36AFE"/>
    <w:rsid w:val="00C74832"/>
    <w:rsid w:val="00C934E0"/>
    <w:rsid w:val="00CA4E97"/>
    <w:rsid w:val="00CB26E7"/>
    <w:rsid w:val="00CE616E"/>
    <w:rsid w:val="00D04546"/>
    <w:rsid w:val="00D07DB4"/>
    <w:rsid w:val="00D37A7C"/>
    <w:rsid w:val="00D4697F"/>
    <w:rsid w:val="00D64DA1"/>
    <w:rsid w:val="00DA3E8D"/>
    <w:rsid w:val="00DA4B8D"/>
    <w:rsid w:val="00DB1B32"/>
    <w:rsid w:val="00DB6DF9"/>
    <w:rsid w:val="00DB7C6D"/>
    <w:rsid w:val="00DC6E5E"/>
    <w:rsid w:val="00DD03A2"/>
    <w:rsid w:val="00E02A9F"/>
    <w:rsid w:val="00E40EA9"/>
    <w:rsid w:val="00E664D0"/>
    <w:rsid w:val="00ED025C"/>
    <w:rsid w:val="00EE50AF"/>
    <w:rsid w:val="00F630D9"/>
    <w:rsid w:val="00F705D0"/>
    <w:rsid w:val="00F813D8"/>
    <w:rsid w:val="00FB50E7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339"/>
  <w15:docId w15:val="{02AFF4C2-1675-482D-ABD8-F767ABA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724</Words>
  <Characters>3775</Characters>
  <Application>Microsoft Office Word</Application>
  <DocSecurity>0</DocSecurity>
  <Lines>51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fgeremia</dc:creator>
  <cp:lastModifiedBy>Francois Geremia</cp:lastModifiedBy>
  <cp:revision>32</cp:revision>
  <dcterms:created xsi:type="dcterms:W3CDTF">2017-12-08T09:05:00Z</dcterms:created>
  <dcterms:modified xsi:type="dcterms:W3CDTF">2019-02-19T14:31:00Z</dcterms:modified>
</cp:coreProperties>
</file>