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07" w:rsidRDefault="007E3007" w:rsidP="007E3007">
      <w:pPr>
        <w:rPr>
          <w:u w:val="single"/>
        </w:rPr>
      </w:pPr>
      <w:r w:rsidRPr="00993994">
        <w:rPr>
          <w:u w:val="single"/>
        </w:rPr>
        <w:t>Participants :</w:t>
      </w:r>
    </w:p>
    <w:p w:rsidR="00F5107E" w:rsidRDefault="000261B0">
      <w:r>
        <w:t>Alain Benard (Nancy EEF)</w:t>
      </w:r>
    </w:p>
    <w:p w:rsidR="00CC3DF9" w:rsidRDefault="00CC3DF9">
      <w:r>
        <w:t>Nathalie Leroy (Nancy EEF)</w:t>
      </w:r>
    </w:p>
    <w:p w:rsidR="00E92BAC" w:rsidRPr="00E92BAC" w:rsidRDefault="00E92BAC">
      <w:r>
        <w:t>Christophe Moisy (Bordeaux ISPA)</w:t>
      </w:r>
    </w:p>
    <w:p w:rsidR="00E92BAC" w:rsidRDefault="00E92BAC">
      <w:r>
        <w:t>Arnaud Dubreuil (Montpellier LISAH)</w:t>
      </w:r>
    </w:p>
    <w:p w:rsidR="00264151" w:rsidRDefault="00264151">
      <w:r>
        <w:t>Christian Floure (Montpellier LISAH)</w:t>
      </w:r>
    </w:p>
    <w:p w:rsidR="00030EE4" w:rsidRDefault="00CC3DF9">
      <w:r>
        <w:t>Benoit Bertoui (Orleans Infosol)</w:t>
      </w:r>
    </w:p>
    <w:p w:rsidR="00CC3DF9" w:rsidRDefault="00CC3DF9">
      <w:r>
        <w:t>Nicolas Saby (Orleans Infosol)</w:t>
      </w:r>
    </w:p>
    <w:p w:rsidR="00030EE4" w:rsidRDefault="00030EE4">
      <w:r>
        <w:t>Hervé Squividant (Rennes SAS)</w:t>
      </w:r>
    </w:p>
    <w:p w:rsidR="00CC3DF9" w:rsidRDefault="00CC3DF9">
      <w:r>
        <w:t>Philippe Clastre (Avignon EMMAH)</w:t>
      </w:r>
    </w:p>
    <w:p w:rsidR="00CC3DF9" w:rsidRDefault="00CC3DF9"/>
    <w:p w:rsidR="00BD4E44" w:rsidRPr="008A0EFB" w:rsidRDefault="00BD4E44" w:rsidP="00BD6222">
      <w:pPr>
        <w:jc w:val="both"/>
        <w:rPr>
          <w:sz w:val="18"/>
          <w:szCs w:val="18"/>
        </w:rPr>
      </w:pPr>
      <w:r>
        <w:t xml:space="preserve">Cette réunion </w:t>
      </w:r>
      <w:r w:rsidR="008A0EFB">
        <w:t xml:space="preserve">en visioconférence a fait l'objet d'un ordre du jour </w:t>
      </w:r>
      <w:r w:rsidR="00BD6222">
        <w:t>proposé par mail</w:t>
      </w:r>
      <w:r w:rsidR="00CC3DF9">
        <w:t xml:space="preserve"> (mode opératoires principalement)</w:t>
      </w:r>
      <w:r w:rsidR="00BD6222">
        <w:t>. L'objectif principal e</w:t>
      </w:r>
      <w:r w:rsidR="0054725C">
        <w:t>s</w:t>
      </w:r>
      <w:r w:rsidR="00BD6222">
        <w:t xml:space="preserve">t de </w:t>
      </w:r>
      <w:r w:rsidR="00030EE4">
        <w:t xml:space="preserve">faire un point de situation </w:t>
      </w:r>
      <w:r w:rsidR="00CC3DF9">
        <w:t>après le lancement de l’IDS de production et l’activation du moissonnage</w:t>
      </w:r>
      <w:r w:rsidR="00030EE4">
        <w:t xml:space="preserve">. </w:t>
      </w:r>
      <w:r w:rsidR="00CC3DF9">
        <w:t>Il y est également fortement question de définir des modes opératoires et d’obtenir une équipe opérationnelle.</w:t>
      </w:r>
    </w:p>
    <w:p w:rsidR="008A0EFB" w:rsidRDefault="008A0EFB" w:rsidP="00AA0BD4">
      <w:pPr>
        <w:jc w:val="both"/>
      </w:pPr>
    </w:p>
    <w:p w:rsidR="0034199B" w:rsidRPr="0034199B" w:rsidRDefault="0034199B" w:rsidP="00AA0BD4">
      <w:pPr>
        <w:jc w:val="both"/>
        <w:rPr>
          <w:b/>
          <w:u w:val="single"/>
        </w:rPr>
      </w:pPr>
      <w:r w:rsidRPr="0034199B">
        <w:rPr>
          <w:b/>
          <w:u w:val="single"/>
        </w:rPr>
        <w:t>Volet RH :</w:t>
      </w:r>
    </w:p>
    <w:p w:rsidR="00CC3DF9" w:rsidRDefault="00CC3DF9" w:rsidP="00AA0BD4">
      <w:pPr>
        <w:jc w:val="both"/>
      </w:pPr>
      <w:r>
        <w:t>La présentation de 2 nouveaux collègues démarre la séance :</w:t>
      </w:r>
    </w:p>
    <w:p w:rsidR="00CC3DF9" w:rsidRDefault="00CC3DF9" w:rsidP="00CC3DF9">
      <w:pPr>
        <w:pStyle w:val="ListParagraph"/>
        <w:numPr>
          <w:ilvl w:val="0"/>
          <w:numId w:val="27"/>
        </w:numPr>
        <w:jc w:val="both"/>
      </w:pPr>
      <w:r>
        <w:t>Wilfried Heintz, géomaticien à l’unité DYNAFOR de Toulouse recruté en janvier sur un profil où son engagement à hauteur de 20% au sein de l’IDS est précisé.</w:t>
      </w:r>
    </w:p>
    <w:p w:rsidR="00CC3DF9" w:rsidRDefault="00CC3DF9" w:rsidP="00CC3DF9">
      <w:pPr>
        <w:pStyle w:val="ListParagraph"/>
        <w:numPr>
          <w:ilvl w:val="0"/>
          <w:numId w:val="27"/>
        </w:numPr>
        <w:jc w:val="both"/>
      </w:pPr>
      <w:r>
        <w:t>Benoît Bertoui, statisticien à l’unité INFOSOL d’Orléans chargé en partie de la poursuite des travaux de Jean-Baptiste Paroissien dont le contrat s’est achevé fin 2014 (alimentation automatique de l’IDS).</w:t>
      </w:r>
    </w:p>
    <w:p w:rsidR="00CC3DF9" w:rsidRDefault="00CC3DF9" w:rsidP="00CC3DF9">
      <w:pPr>
        <w:jc w:val="both"/>
      </w:pPr>
      <w:r>
        <w:t xml:space="preserve">Coté RH nous sommes heureux d’apprendre qu’au LISAH (Montpellier) , Arnaud </w:t>
      </w:r>
      <w:r w:rsidR="0034199B">
        <w:t xml:space="preserve">va peut-être accueillir un collègue IRD </w:t>
      </w:r>
      <w:r w:rsidR="007F64FC">
        <w:t xml:space="preserve">(Septembre 2015) </w:t>
      </w:r>
      <w:r w:rsidR="0034199B">
        <w:t>en renfort et en remplacement d’Hervé.</w:t>
      </w:r>
      <w:r w:rsidR="00A978C5">
        <w:t xml:space="preserve"> Un tour de table a été réalisé pour se présenter aux nouveaux collègues (Welcome).</w:t>
      </w:r>
    </w:p>
    <w:p w:rsidR="0034199B" w:rsidRDefault="0034199B" w:rsidP="00CC3DF9">
      <w:pPr>
        <w:jc w:val="both"/>
      </w:pPr>
    </w:p>
    <w:p w:rsidR="0034199B" w:rsidRPr="0034199B" w:rsidRDefault="0034199B" w:rsidP="00CC3DF9">
      <w:pPr>
        <w:jc w:val="both"/>
        <w:rPr>
          <w:b/>
          <w:u w:val="single"/>
        </w:rPr>
      </w:pPr>
      <w:r w:rsidRPr="0034199B">
        <w:rPr>
          <w:b/>
          <w:u w:val="single"/>
        </w:rPr>
        <w:t xml:space="preserve">Moissonnage : </w:t>
      </w:r>
    </w:p>
    <w:p w:rsidR="0034199B" w:rsidRDefault="006B7934" w:rsidP="00CC3DF9">
      <w:pPr>
        <w:jc w:val="both"/>
      </w:pPr>
      <w:r>
        <w:t>Hervé Squividant a activé le moissonnage sur l’IDS de production en moissonnant :</w:t>
      </w:r>
    </w:p>
    <w:p w:rsidR="006B7934" w:rsidRDefault="006B7934" w:rsidP="006B7934">
      <w:pPr>
        <w:pStyle w:val="ListParagraph"/>
        <w:numPr>
          <w:ilvl w:val="0"/>
          <w:numId w:val="28"/>
        </w:numPr>
        <w:jc w:val="both"/>
      </w:pPr>
      <w:r>
        <w:t>Catalogue UMR SAS</w:t>
      </w:r>
    </w:p>
    <w:p w:rsidR="006B7934" w:rsidRDefault="006B7934" w:rsidP="006B7934">
      <w:pPr>
        <w:pStyle w:val="ListParagraph"/>
        <w:numPr>
          <w:ilvl w:val="0"/>
          <w:numId w:val="28"/>
        </w:numPr>
        <w:jc w:val="both"/>
      </w:pPr>
      <w:r>
        <w:t>Catalogue Avignon</w:t>
      </w:r>
    </w:p>
    <w:p w:rsidR="006B7934" w:rsidRDefault="006B7934" w:rsidP="006B7934">
      <w:pPr>
        <w:pStyle w:val="ListParagraph"/>
        <w:numPr>
          <w:ilvl w:val="0"/>
          <w:numId w:val="28"/>
        </w:numPr>
        <w:jc w:val="both"/>
      </w:pPr>
      <w:r>
        <w:t>Catalogue LISAH</w:t>
      </w:r>
    </w:p>
    <w:p w:rsidR="006B7934" w:rsidRDefault="006B7934" w:rsidP="006B7934">
      <w:pPr>
        <w:pStyle w:val="ListParagraph"/>
        <w:numPr>
          <w:ilvl w:val="0"/>
          <w:numId w:val="28"/>
        </w:numPr>
        <w:jc w:val="both"/>
      </w:pPr>
      <w:r>
        <w:t>Catlogue AMAP (après déclaration d’intention de cette unité montpelliéraine suite au lancement officiel de l’IDS)</w:t>
      </w:r>
    </w:p>
    <w:p w:rsidR="006B7934" w:rsidRDefault="006B7934" w:rsidP="006B7934">
      <w:pPr>
        <w:jc w:val="both"/>
      </w:pPr>
      <w:r>
        <w:t>Il a été discuté de la possibilité coté ‘Catalogue moissonné’ de limiter les fiches exposées par le biais de la notion de catalogue virtuel basé sur un filtre appliqué aux fiches du catalogue. Nous avons convenu en réunion de créer une catégorie dédiée ‘</w:t>
      </w:r>
      <w:r w:rsidR="007F64FC">
        <w:t>non_moissonne</w:t>
      </w:r>
      <w:r>
        <w:t xml:space="preserve">’ </w:t>
      </w:r>
      <w:r w:rsidR="007F64FC">
        <w:t>(</w:t>
      </w:r>
      <w:r w:rsidR="007F64FC" w:rsidRPr="007F64FC">
        <w:rPr>
          <w:i/>
        </w:rPr>
        <w:t>effectif sur le bac à sable et sur agroenvgeo</w:t>
      </w:r>
      <w:r w:rsidR="007F64FC">
        <w:t xml:space="preserve">) </w:t>
      </w:r>
      <w:r>
        <w:t xml:space="preserve">pour indiquer les fiches que l’on ne souhaite pas exposer (chacun est libre </w:t>
      </w:r>
      <w:r w:rsidR="00493E82">
        <w:t>de gérer les fiches qu’il expose au moisson</w:t>
      </w:r>
      <w:r w:rsidR="00A978C5">
        <w:t>n</w:t>
      </w:r>
      <w:r w:rsidR="00493E82">
        <w:t xml:space="preserve">age agroenvgeo pour les collègues moissonnés – de même chacun gère l’association de ses fiches à la catégorie </w:t>
      </w:r>
      <w:r w:rsidR="00A978C5">
        <w:t xml:space="preserve"> ‘</w:t>
      </w:r>
      <w:r w:rsidR="007F64FC">
        <w:t>non_moissonne</w:t>
      </w:r>
      <w:r w:rsidR="00A978C5">
        <w:t>’ le cas échéant)</w:t>
      </w:r>
      <w:r w:rsidR="007F64FC">
        <w:t xml:space="preserve">. </w:t>
      </w:r>
    </w:p>
    <w:p w:rsidR="00A978C5" w:rsidRDefault="00A978C5" w:rsidP="006B7934">
      <w:pPr>
        <w:jc w:val="both"/>
      </w:pPr>
    </w:p>
    <w:p w:rsidR="00A978C5" w:rsidRPr="00E33434" w:rsidRDefault="00E33434" w:rsidP="006B7934">
      <w:pPr>
        <w:jc w:val="both"/>
        <w:rPr>
          <w:b/>
          <w:u w:val="single"/>
        </w:rPr>
      </w:pPr>
      <w:r w:rsidRPr="00E33434">
        <w:rPr>
          <w:b/>
          <w:u w:val="single"/>
        </w:rPr>
        <w:t>Modes opératoires :</w:t>
      </w:r>
    </w:p>
    <w:p w:rsidR="00E33434" w:rsidRDefault="00E33434" w:rsidP="006B7934">
      <w:pPr>
        <w:jc w:val="both"/>
      </w:pPr>
      <w:r>
        <w:lastRenderedPageBreak/>
        <w:t>La mise en production impose de s’appuyer sur une équipe de taille suffisante pour que le service ne dépende pas d’une seule ou de deux personnes. Nathalie et moi-même avons configuré et déployé les IDS et ces travaux se font en tâche de fond et peuvent se poursuivre sous cette forme, en intégrant ceux que ça intéresse bien évidemment (je pense que Wilfried peut être intéressé à minima). En revanche la supervision de l’outil et certaines tâches nécessitent un renfort de ce binôme.</w:t>
      </w:r>
    </w:p>
    <w:p w:rsidR="00E33434" w:rsidRDefault="00E33434" w:rsidP="00E33434">
      <w:pPr>
        <w:pStyle w:val="ListParagraph"/>
        <w:numPr>
          <w:ilvl w:val="0"/>
          <w:numId w:val="29"/>
        </w:numPr>
        <w:jc w:val="both"/>
      </w:pPr>
      <w:r>
        <w:t>Création des comptes LDAP (Bac à sable ou production) :</w:t>
      </w:r>
    </w:p>
    <w:p w:rsidR="007F64FC" w:rsidRDefault="007F64FC" w:rsidP="007F64FC">
      <w:pPr>
        <w:ind w:left="708"/>
        <w:jc w:val="both"/>
      </w:pPr>
      <w:r>
        <w:t xml:space="preserve">Nous avons convenu de nous appuyer sur un groupe de collègues (Nathalie, Wilfried, </w:t>
      </w:r>
      <w:r w:rsidR="00A951D5">
        <w:t xml:space="preserve">Philippe, </w:t>
      </w:r>
      <w:r>
        <w:t>un collègue orléanais à désigner</w:t>
      </w:r>
      <w:r w:rsidR="00A951D5">
        <w:t xml:space="preserve"> [Voir Benoît Toutain]</w:t>
      </w:r>
      <w:r>
        <w:t>, Alain, d’autres volontaires ?) pour répondre aux demandes de création / modification de compte. Une prochaine réunion de ce sous-groupe fixera les modalités de travail (Adresse de messagerie commune, forge ou système de gestion des demandes, documentation et mode opératoire). Alain fera un récapitulatif sur l’utilisation des groupes pouvant aussi intéresser d’autres collègues (se manifester au besoin)</w:t>
      </w:r>
    </w:p>
    <w:p w:rsidR="007F64FC" w:rsidRDefault="007F64FC" w:rsidP="007F64FC">
      <w:pPr>
        <w:ind w:left="708"/>
        <w:jc w:val="both"/>
      </w:pPr>
    </w:p>
    <w:p w:rsidR="00E33434" w:rsidRDefault="00E33434" w:rsidP="00E33434">
      <w:pPr>
        <w:pStyle w:val="ListParagraph"/>
        <w:numPr>
          <w:ilvl w:val="0"/>
          <w:numId w:val="29"/>
        </w:numPr>
        <w:jc w:val="both"/>
      </w:pPr>
      <w:r>
        <w:t>Relance des services</w:t>
      </w:r>
      <w:r w:rsidR="007F64FC">
        <w:t> </w:t>
      </w:r>
      <w:r>
        <w:t>:</w:t>
      </w:r>
    </w:p>
    <w:p w:rsidR="007F64FC" w:rsidRDefault="007F64FC" w:rsidP="007F64FC">
      <w:pPr>
        <w:ind w:left="708"/>
        <w:jc w:val="both"/>
      </w:pPr>
      <w:r>
        <w:t xml:space="preserve">Les plantages de geoserver nous amènent à effectuer des relances de services qui ont été facilitées par la mise en place de pages web dédiées à l’administration. Afin de ne pas dépendre uniquement de Nathalie et Alain nous avons convenu </w:t>
      </w:r>
      <w:r w:rsidR="00A951D5">
        <w:t>de nous appuyer sur un groupe de collègues (Nathalie, Wilfried, Benoît Bertoui, Hervé, Alain, d’autres volontaires ?) pour relancer les services le cas échéant. Une prochaine réunion de ce sous-groupe fixera les modalités de travail (Adresse de messagerie commune, forge ou système de gestion des demandes, documentation et mode opératoire)</w:t>
      </w:r>
    </w:p>
    <w:p w:rsidR="00A951D5" w:rsidRDefault="00A951D5" w:rsidP="007F64FC">
      <w:pPr>
        <w:ind w:left="708"/>
        <w:jc w:val="both"/>
      </w:pPr>
    </w:p>
    <w:p w:rsidR="00E33434" w:rsidRPr="00E33434" w:rsidRDefault="00E33434" w:rsidP="00E33434">
      <w:pPr>
        <w:jc w:val="both"/>
        <w:rPr>
          <w:b/>
          <w:u w:val="single"/>
        </w:rPr>
      </w:pPr>
      <w:r w:rsidRPr="00E33434">
        <w:rPr>
          <w:b/>
          <w:u w:val="single"/>
        </w:rPr>
        <w:t>Sujets divers :</w:t>
      </w:r>
    </w:p>
    <w:p w:rsidR="00E33434" w:rsidRDefault="00A951D5" w:rsidP="00A951D5">
      <w:pPr>
        <w:pStyle w:val="ListParagraph"/>
        <w:numPr>
          <w:ilvl w:val="0"/>
          <w:numId w:val="29"/>
        </w:numPr>
        <w:jc w:val="both"/>
      </w:pPr>
      <w:r w:rsidRPr="00A951D5">
        <w:rPr>
          <w:b/>
          <w:u w:val="single"/>
        </w:rPr>
        <w:t>Thésaurus :</w:t>
      </w:r>
      <w:r>
        <w:t xml:space="preserve"> nous avons convenu d’utiliser des thésaurus existants et de ne pas entrer dans le débat de création de nouveautés. Je propose que la liste des thésaurus soit débattue / validée collégialement pour éviter la surmultiplication.</w:t>
      </w:r>
    </w:p>
    <w:p w:rsidR="00A951D5" w:rsidRDefault="00A951D5" w:rsidP="00A951D5">
      <w:pPr>
        <w:pStyle w:val="ListParagraph"/>
        <w:numPr>
          <w:ilvl w:val="0"/>
          <w:numId w:val="29"/>
        </w:numPr>
        <w:jc w:val="both"/>
      </w:pPr>
      <w:r w:rsidRPr="00A951D5">
        <w:rPr>
          <w:b/>
          <w:u w:val="single"/>
        </w:rPr>
        <w:t>Annuaire :</w:t>
      </w:r>
      <w:r>
        <w:t xml:space="preserve"> nous avons discuté de la pertinence d’utilisation des annuaires sous geonetwork et rappelé que le bac à sable peut nous permettre de tester cette fonctionnalité avant d’en faire la promotion et de discuter des </w:t>
      </w:r>
      <w:r w:rsidR="00D92158">
        <w:t>règles</w:t>
      </w:r>
      <w:bookmarkStart w:id="0" w:name="_GoBack"/>
      <w:bookmarkEnd w:id="0"/>
      <w:r>
        <w:t xml:space="preserve"> d’usage (Avis aux amateurs).</w:t>
      </w:r>
    </w:p>
    <w:p w:rsidR="00A951D5" w:rsidRDefault="00A951D5" w:rsidP="00A951D5">
      <w:pPr>
        <w:pStyle w:val="ListParagraph"/>
        <w:numPr>
          <w:ilvl w:val="0"/>
          <w:numId w:val="29"/>
        </w:numPr>
        <w:jc w:val="both"/>
      </w:pPr>
      <w:r w:rsidRPr="00A951D5">
        <w:rPr>
          <w:b/>
          <w:u w:val="single"/>
        </w:rPr>
        <w:t>Métadonnées de service :</w:t>
      </w:r>
      <w:r>
        <w:t xml:space="preserve"> (WMS, WFS …) : nous devons progresser sur la publication de ce type de métadonnées et préciser le mode opératoire.</w:t>
      </w:r>
    </w:p>
    <w:p w:rsidR="00A951D5" w:rsidRDefault="00A951D5" w:rsidP="00A951D5">
      <w:pPr>
        <w:pStyle w:val="ListParagraph"/>
        <w:numPr>
          <w:ilvl w:val="0"/>
          <w:numId w:val="29"/>
        </w:numPr>
        <w:jc w:val="both"/>
      </w:pPr>
      <w:r>
        <w:rPr>
          <w:b/>
          <w:u w:val="single"/>
        </w:rPr>
        <w:t>Communication :</w:t>
      </w:r>
      <w:r w:rsidRPr="00A951D5">
        <w:t xml:space="preserve"> les travaux</w:t>
      </w:r>
      <w:r>
        <w:t xml:space="preserve"> d’automatisation doivent être élargis et permettre une meilleure intégration dans l’IDS. </w:t>
      </w:r>
      <w:r w:rsidR="00EA07FA">
        <w:t>Je propose que nous définissions plus précisément une stratégie de communication dans une réunion à l’issue de l’AG du CATI SIOEA afin de prendre en compte les remarques que nous pourrons y collecter.</w:t>
      </w:r>
    </w:p>
    <w:p w:rsidR="00EA07FA" w:rsidRDefault="00EA07FA" w:rsidP="00EA07FA">
      <w:pPr>
        <w:jc w:val="both"/>
      </w:pPr>
      <w:r>
        <w:t>Prochaine visio certainement en juin.</w:t>
      </w:r>
    </w:p>
    <w:sectPr w:rsidR="00EA07FA" w:rsidSect="000D287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BE" w:rsidRDefault="007101BE" w:rsidP="007E3007">
      <w:r>
        <w:separator/>
      </w:r>
    </w:p>
  </w:endnote>
  <w:endnote w:type="continuationSeparator" w:id="0">
    <w:p w:rsidR="007101BE" w:rsidRDefault="007101BE" w:rsidP="007E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70" w:type="dxa"/>
        <w:right w:w="70" w:type="dxa"/>
      </w:tblCellMar>
      <w:tblLook w:val="0000" w:firstRow="0" w:lastRow="0" w:firstColumn="0" w:lastColumn="0" w:noHBand="0" w:noVBand="0"/>
    </w:tblPr>
    <w:tblGrid>
      <w:gridCol w:w="1843"/>
      <w:gridCol w:w="2552"/>
      <w:gridCol w:w="2551"/>
      <w:gridCol w:w="2552"/>
    </w:tblGrid>
    <w:tr w:rsidR="000D2872" w:rsidTr="007743CF">
      <w:tc>
        <w:tcPr>
          <w:tcW w:w="1843" w:type="dxa"/>
          <w:tcBorders>
            <w:top w:val="single" w:sz="6" w:space="0" w:color="008000"/>
            <w:left w:val="single" w:sz="6" w:space="0" w:color="008000"/>
            <w:bottom w:val="single" w:sz="6" w:space="0" w:color="008000"/>
            <w:right w:val="single" w:sz="6" w:space="0" w:color="008000"/>
          </w:tcBorders>
        </w:tcPr>
        <w:p w:rsidR="000D2872" w:rsidRDefault="000D2872" w:rsidP="007743CF">
          <w:pPr>
            <w:ind w:right="-9000"/>
            <w:jc w:val="center"/>
            <w:rPr>
              <w:b/>
            </w:rPr>
          </w:pPr>
        </w:p>
      </w:tc>
      <w:tc>
        <w:tcPr>
          <w:tcW w:w="2552" w:type="dxa"/>
          <w:tcBorders>
            <w:top w:val="single" w:sz="6" w:space="0" w:color="008000"/>
            <w:left w:val="single" w:sz="6" w:space="0" w:color="008000"/>
            <w:bottom w:val="single" w:sz="6" w:space="0" w:color="008000"/>
            <w:right w:val="single" w:sz="6" w:space="0" w:color="008000"/>
          </w:tcBorders>
        </w:tcPr>
        <w:p w:rsidR="000D2872" w:rsidRPr="007E3007" w:rsidRDefault="000D2872" w:rsidP="007743CF">
          <w:pPr>
            <w:jc w:val="center"/>
          </w:pPr>
          <w:r w:rsidRPr="007E3007">
            <w:t>Rédacteur</w:t>
          </w:r>
        </w:p>
      </w:tc>
      <w:tc>
        <w:tcPr>
          <w:tcW w:w="2551" w:type="dxa"/>
          <w:tcBorders>
            <w:top w:val="single" w:sz="6" w:space="0" w:color="008000"/>
            <w:left w:val="single" w:sz="6" w:space="0" w:color="008000"/>
            <w:bottom w:val="single" w:sz="6" w:space="0" w:color="008000"/>
            <w:right w:val="single" w:sz="6" w:space="0" w:color="008000"/>
          </w:tcBorders>
        </w:tcPr>
        <w:p w:rsidR="000D2872" w:rsidRPr="007E3007" w:rsidRDefault="000D2872" w:rsidP="007743CF">
          <w:pPr>
            <w:jc w:val="center"/>
          </w:pPr>
          <w:r w:rsidRPr="007E3007">
            <w:t>Vérificateur</w:t>
          </w:r>
        </w:p>
      </w:tc>
      <w:tc>
        <w:tcPr>
          <w:tcW w:w="2552" w:type="dxa"/>
          <w:tcBorders>
            <w:top w:val="single" w:sz="6" w:space="0" w:color="008000"/>
            <w:left w:val="single" w:sz="6" w:space="0" w:color="008000"/>
            <w:bottom w:val="single" w:sz="6" w:space="0" w:color="008000"/>
            <w:right w:val="single" w:sz="6" w:space="0" w:color="008000"/>
          </w:tcBorders>
        </w:tcPr>
        <w:p w:rsidR="000D2872" w:rsidRPr="007E3007" w:rsidRDefault="000D2872" w:rsidP="007743CF">
          <w:pPr>
            <w:jc w:val="center"/>
          </w:pPr>
          <w:r w:rsidRPr="007E3007">
            <w:t>Approbateur</w:t>
          </w:r>
        </w:p>
      </w:tc>
    </w:tr>
    <w:tr w:rsidR="000D2872" w:rsidTr="007743CF">
      <w:tc>
        <w:tcPr>
          <w:tcW w:w="1843" w:type="dxa"/>
          <w:tcBorders>
            <w:top w:val="single" w:sz="6" w:space="0" w:color="008000"/>
            <w:left w:val="single" w:sz="6" w:space="0" w:color="008000"/>
            <w:bottom w:val="single" w:sz="6" w:space="0" w:color="008000"/>
            <w:right w:val="single" w:sz="6" w:space="0" w:color="008000"/>
          </w:tcBorders>
        </w:tcPr>
        <w:p w:rsidR="000D2872" w:rsidRPr="007E3007" w:rsidRDefault="000D2872" w:rsidP="007743CF">
          <w:r w:rsidRPr="007E3007">
            <w:t xml:space="preserve">Nom : </w:t>
          </w:r>
        </w:p>
        <w:p w:rsidR="000D2872" w:rsidRDefault="000D2872" w:rsidP="007743CF"/>
      </w:tc>
      <w:tc>
        <w:tcPr>
          <w:tcW w:w="2552" w:type="dxa"/>
          <w:tcBorders>
            <w:top w:val="single" w:sz="6" w:space="0" w:color="008000"/>
            <w:left w:val="single" w:sz="6" w:space="0" w:color="008000"/>
            <w:bottom w:val="single" w:sz="6" w:space="0" w:color="008000"/>
            <w:right w:val="single" w:sz="6" w:space="0" w:color="008000"/>
          </w:tcBorders>
        </w:tcPr>
        <w:p w:rsidR="000D2872" w:rsidRPr="00AE6E88" w:rsidRDefault="000D2872" w:rsidP="007743CF">
          <w:pPr>
            <w:rPr>
              <w:sz w:val="16"/>
              <w:szCs w:val="16"/>
            </w:rPr>
          </w:pPr>
          <w:r>
            <w:rPr>
              <w:sz w:val="16"/>
              <w:szCs w:val="16"/>
            </w:rPr>
            <w:t>Alain Benard</w:t>
          </w:r>
        </w:p>
      </w:tc>
      <w:tc>
        <w:tcPr>
          <w:tcW w:w="2551" w:type="dxa"/>
          <w:tcBorders>
            <w:top w:val="single" w:sz="6" w:space="0" w:color="008000"/>
            <w:left w:val="single" w:sz="6" w:space="0" w:color="008000"/>
            <w:bottom w:val="single" w:sz="6" w:space="0" w:color="008000"/>
            <w:right w:val="single" w:sz="6" w:space="0" w:color="008000"/>
          </w:tcBorders>
        </w:tcPr>
        <w:p w:rsidR="000D2872" w:rsidRDefault="000D2872" w:rsidP="007743CF">
          <w:r>
            <w:t>Les participants</w:t>
          </w:r>
        </w:p>
      </w:tc>
      <w:tc>
        <w:tcPr>
          <w:tcW w:w="2552" w:type="dxa"/>
          <w:tcBorders>
            <w:top w:val="single" w:sz="6" w:space="0" w:color="008000"/>
            <w:left w:val="single" w:sz="6" w:space="0" w:color="008000"/>
            <w:bottom w:val="single" w:sz="6" w:space="0" w:color="008000"/>
            <w:right w:val="single" w:sz="6" w:space="0" w:color="008000"/>
          </w:tcBorders>
        </w:tcPr>
        <w:p w:rsidR="000D2872" w:rsidRDefault="000D2872" w:rsidP="007743CF">
          <w:r>
            <w:t>Groupe IDS</w:t>
          </w:r>
        </w:p>
      </w:tc>
    </w:tr>
  </w:tbl>
  <w:p w:rsidR="00497AD6" w:rsidRDefault="00497AD6" w:rsidP="000D2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BE" w:rsidRDefault="007101BE" w:rsidP="007E3007">
      <w:r>
        <w:separator/>
      </w:r>
    </w:p>
  </w:footnote>
  <w:footnote w:type="continuationSeparator" w:id="0">
    <w:p w:rsidR="007101BE" w:rsidRDefault="007101BE" w:rsidP="007E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firstRow="1" w:lastRow="1" w:firstColumn="1" w:lastColumn="1" w:noHBand="0" w:noVBand="0"/>
    </w:tblPr>
    <w:tblGrid>
      <w:gridCol w:w="2448"/>
      <w:gridCol w:w="4680"/>
      <w:gridCol w:w="2084"/>
    </w:tblGrid>
    <w:tr w:rsidR="00497AD6" w:rsidTr="007743CF">
      <w:trPr>
        <w:trHeight w:val="894"/>
      </w:trPr>
      <w:tc>
        <w:tcPr>
          <w:tcW w:w="2448" w:type="dxa"/>
          <w:vAlign w:val="center"/>
        </w:tcPr>
        <w:p w:rsidR="00497AD6" w:rsidRPr="00C9267B" w:rsidRDefault="00497AD6" w:rsidP="007743CF">
          <w:pPr>
            <w:jc w:val="center"/>
            <w:rPr>
              <w:sz w:val="20"/>
              <w:szCs w:val="20"/>
            </w:rPr>
          </w:pPr>
          <w:r>
            <w:rPr>
              <w:noProof/>
            </w:rPr>
            <w:t>CATI SIOEA</w:t>
          </w:r>
        </w:p>
      </w:tc>
      <w:tc>
        <w:tcPr>
          <w:tcW w:w="4680" w:type="dxa"/>
          <w:vAlign w:val="center"/>
        </w:tcPr>
        <w:p w:rsidR="00497AD6" w:rsidRPr="000261B0" w:rsidRDefault="00497AD6" w:rsidP="00CC3DF9">
          <w:pPr>
            <w:pStyle w:val="Header"/>
            <w:jc w:val="center"/>
            <w:rPr>
              <w:b/>
              <w:sz w:val="20"/>
              <w:szCs w:val="20"/>
            </w:rPr>
          </w:pPr>
          <w:r w:rsidRPr="00C9267B">
            <w:rPr>
              <w:b/>
              <w:sz w:val="20"/>
              <w:szCs w:val="20"/>
            </w:rPr>
            <w:t xml:space="preserve">Objet : </w:t>
          </w:r>
          <w:r>
            <w:rPr>
              <w:b/>
              <w:sz w:val="20"/>
              <w:szCs w:val="20"/>
            </w:rPr>
            <w:t xml:space="preserve">Compte-rendu réunion du </w:t>
          </w:r>
          <w:r w:rsidR="00CC3DF9">
            <w:rPr>
              <w:b/>
              <w:sz w:val="20"/>
              <w:szCs w:val="20"/>
            </w:rPr>
            <w:t>26/03/2015</w:t>
          </w:r>
        </w:p>
      </w:tc>
      <w:tc>
        <w:tcPr>
          <w:tcW w:w="2084" w:type="dxa"/>
          <w:vMerge w:val="restart"/>
        </w:tcPr>
        <w:p w:rsidR="00497AD6" w:rsidRPr="00C9267B" w:rsidRDefault="00497AD6" w:rsidP="007743CF">
          <w:pPr>
            <w:pStyle w:val="Header"/>
            <w:rPr>
              <w:sz w:val="20"/>
              <w:szCs w:val="20"/>
            </w:rPr>
          </w:pPr>
          <w:r w:rsidRPr="00C9267B">
            <w:rPr>
              <w:sz w:val="20"/>
              <w:szCs w:val="20"/>
            </w:rPr>
            <w:t xml:space="preserve">Page </w:t>
          </w:r>
          <w:r w:rsidRPr="00C9267B">
            <w:rPr>
              <w:sz w:val="20"/>
              <w:szCs w:val="20"/>
            </w:rPr>
            <w:fldChar w:fldCharType="begin"/>
          </w:r>
          <w:r w:rsidRPr="00C9267B">
            <w:rPr>
              <w:sz w:val="20"/>
              <w:szCs w:val="20"/>
            </w:rPr>
            <w:instrText xml:space="preserve"> PAGE </w:instrText>
          </w:r>
          <w:r w:rsidRPr="00C9267B">
            <w:rPr>
              <w:sz w:val="20"/>
              <w:szCs w:val="20"/>
            </w:rPr>
            <w:fldChar w:fldCharType="separate"/>
          </w:r>
          <w:r w:rsidR="00D92158">
            <w:rPr>
              <w:noProof/>
              <w:sz w:val="20"/>
              <w:szCs w:val="20"/>
            </w:rPr>
            <w:t>2</w:t>
          </w:r>
          <w:r w:rsidRPr="00C9267B">
            <w:rPr>
              <w:sz w:val="20"/>
              <w:szCs w:val="20"/>
            </w:rPr>
            <w:fldChar w:fldCharType="end"/>
          </w:r>
          <w:r w:rsidRPr="00C9267B">
            <w:rPr>
              <w:sz w:val="20"/>
              <w:szCs w:val="20"/>
            </w:rPr>
            <w:t xml:space="preserve"> sur </w:t>
          </w:r>
          <w:r w:rsidRPr="00C9267B">
            <w:rPr>
              <w:sz w:val="20"/>
              <w:szCs w:val="20"/>
            </w:rPr>
            <w:fldChar w:fldCharType="begin"/>
          </w:r>
          <w:r w:rsidRPr="00C9267B">
            <w:rPr>
              <w:sz w:val="20"/>
              <w:szCs w:val="20"/>
            </w:rPr>
            <w:instrText xml:space="preserve"> NUMPAGES </w:instrText>
          </w:r>
          <w:r w:rsidRPr="00C9267B">
            <w:rPr>
              <w:sz w:val="20"/>
              <w:szCs w:val="20"/>
            </w:rPr>
            <w:fldChar w:fldCharType="separate"/>
          </w:r>
          <w:r w:rsidR="00D92158">
            <w:rPr>
              <w:noProof/>
              <w:sz w:val="20"/>
              <w:szCs w:val="20"/>
            </w:rPr>
            <w:t>2</w:t>
          </w:r>
          <w:r w:rsidRPr="00C9267B">
            <w:rPr>
              <w:sz w:val="20"/>
              <w:szCs w:val="20"/>
            </w:rPr>
            <w:fldChar w:fldCharType="end"/>
          </w:r>
        </w:p>
        <w:p w:rsidR="00497AD6" w:rsidRPr="00C9267B" w:rsidRDefault="00497AD6" w:rsidP="007743CF">
          <w:pPr>
            <w:pStyle w:val="Header"/>
            <w:rPr>
              <w:sz w:val="20"/>
              <w:szCs w:val="20"/>
            </w:rPr>
          </w:pPr>
          <w:r w:rsidRPr="00C9267B">
            <w:rPr>
              <w:sz w:val="20"/>
              <w:szCs w:val="20"/>
            </w:rPr>
            <w:t xml:space="preserve">Date : </w:t>
          </w:r>
          <w:r w:rsidR="00CC3DF9">
            <w:rPr>
              <w:sz w:val="20"/>
              <w:szCs w:val="20"/>
            </w:rPr>
            <w:t>10/04/2015</w:t>
          </w:r>
        </w:p>
        <w:p w:rsidR="00497AD6" w:rsidRPr="00C9267B" w:rsidRDefault="00497AD6" w:rsidP="007743CF">
          <w:pPr>
            <w:pStyle w:val="Header"/>
            <w:rPr>
              <w:sz w:val="20"/>
              <w:szCs w:val="20"/>
            </w:rPr>
          </w:pPr>
          <w:r w:rsidRPr="00C9267B">
            <w:rPr>
              <w:sz w:val="20"/>
              <w:szCs w:val="20"/>
            </w:rPr>
            <w:t xml:space="preserve">Version </w:t>
          </w:r>
          <w:r>
            <w:rPr>
              <w:sz w:val="20"/>
              <w:szCs w:val="20"/>
            </w:rPr>
            <w:t>1</w:t>
          </w:r>
        </w:p>
      </w:tc>
    </w:tr>
    <w:tr w:rsidR="00497AD6" w:rsidTr="007743CF">
      <w:tc>
        <w:tcPr>
          <w:tcW w:w="2448" w:type="dxa"/>
        </w:tcPr>
        <w:p w:rsidR="00497AD6" w:rsidRPr="00C9267B" w:rsidRDefault="00497AD6" w:rsidP="007743CF">
          <w:pPr>
            <w:pStyle w:val="Header"/>
            <w:rPr>
              <w:sz w:val="20"/>
              <w:szCs w:val="20"/>
            </w:rPr>
          </w:pPr>
        </w:p>
      </w:tc>
      <w:tc>
        <w:tcPr>
          <w:tcW w:w="4680" w:type="dxa"/>
        </w:tcPr>
        <w:p w:rsidR="00497AD6" w:rsidRPr="00993994" w:rsidRDefault="00497AD6" w:rsidP="007743CF">
          <w:pPr>
            <w:pStyle w:val="Header"/>
            <w:rPr>
              <w:b/>
            </w:rPr>
          </w:pPr>
        </w:p>
      </w:tc>
      <w:tc>
        <w:tcPr>
          <w:tcW w:w="2084" w:type="dxa"/>
          <w:vMerge/>
        </w:tcPr>
        <w:p w:rsidR="00497AD6" w:rsidRDefault="00497AD6" w:rsidP="007743CF">
          <w:pPr>
            <w:pStyle w:val="Header"/>
          </w:pPr>
        </w:p>
      </w:tc>
    </w:tr>
  </w:tbl>
  <w:p w:rsidR="004C03B1" w:rsidRDefault="004C03B1" w:rsidP="00497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4034"/>
    <w:multiLevelType w:val="hybridMultilevel"/>
    <w:tmpl w:val="753C0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6505E6"/>
    <w:multiLevelType w:val="hybridMultilevel"/>
    <w:tmpl w:val="0B96F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0558BE"/>
    <w:multiLevelType w:val="hybridMultilevel"/>
    <w:tmpl w:val="8A766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623C49"/>
    <w:multiLevelType w:val="hybridMultilevel"/>
    <w:tmpl w:val="F38E3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2CE04D0D"/>
    <w:multiLevelType w:val="hybridMultilevel"/>
    <w:tmpl w:val="45A8B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C85B8D"/>
    <w:multiLevelType w:val="hybridMultilevel"/>
    <w:tmpl w:val="1466E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344736"/>
    <w:multiLevelType w:val="multilevel"/>
    <w:tmpl w:val="8214C0B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CB32E4"/>
    <w:multiLevelType w:val="hybridMultilevel"/>
    <w:tmpl w:val="44FE5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0014E0"/>
    <w:multiLevelType w:val="hybridMultilevel"/>
    <w:tmpl w:val="EFE82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256FB5"/>
    <w:multiLevelType w:val="hybridMultilevel"/>
    <w:tmpl w:val="8314FD6A"/>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3">
    <w:nsid w:val="55805BD3"/>
    <w:multiLevelType w:val="hybridMultilevel"/>
    <w:tmpl w:val="07189D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A930625"/>
    <w:multiLevelType w:val="hybridMultilevel"/>
    <w:tmpl w:val="D6CC11E4"/>
    <w:lvl w:ilvl="0" w:tplc="040C0001">
      <w:start w:val="1"/>
      <w:numFmt w:val="bullet"/>
      <w:lvlText w:val=""/>
      <w:lvlJc w:val="left"/>
      <w:pPr>
        <w:ind w:left="783" w:hanging="360"/>
      </w:pPr>
      <w:rPr>
        <w:rFonts w:ascii="Symbol" w:hAnsi="Symbol" w:hint="default"/>
      </w:rPr>
    </w:lvl>
    <w:lvl w:ilvl="1" w:tplc="040C0003">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5">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68E26D90"/>
    <w:multiLevelType w:val="hybridMultilevel"/>
    <w:tmpl w:val="FED4B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4073A3"/>
    <w:multiLevelType w:val="hybridMultilevel"/>
    <w:tmpl w:val="0E763B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CE6B57"/>
    <w:multiLevelType w:val="hybridMultilevel"/>
    <w:tmpl w:val="26669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6178DC"/>
    <w:multiLevelType w:val="hybridMultilevel"/>
    <w:tmpl w:val="A796C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63027B"/>
    <w:multiLevelType w:val="hybridMultilevel"/>
    <w:tmpl w:val="90188B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5"/>
  </w:num>
  <w:num w:numId="5">
    <w:abstractNumId w:val="5"/>
  </w:num>
  <w:num w:numId="6">
    <w:abstractNumId w:val="6"/>
  </w:num>
  <w:num w:numId="7">
    <w:abstractNumId w:val="5"/>
  </w:num>
  <w:num w:numId="8">
    <w:abstractNumId w:val="5"/>
  </w:num>
  <w:num w:numId="9">
    <w:abstractNumId w:val="9"/>
  </w:num>
  <w:num w:numId="10">
    <w:abstractNumId w:val="9"/>
  </w:num>
  <w:num w:numId="11">
    <w:abstractNumId w:val="9"/>
  </w:num>
  <w:num w:numId="12">
    <w:abstractNumId w:val="9"/>
  </w:num>
  <w:num w:numId="13">
    <w:abstractNumId w:val="9"/>
  </w:num>
  <w:num w:numId="14">
    <w:abstractNumId w:val="17"/>
  </w:num>
  <w:num w:numId="15">
    <w:abstractNumId w:val="10"/>
  </w:num>
  <w:num w:numId="16">
    <w:abstractNumId w:val="12"/>
  </w:num>
  <w:num w:numId="17">
    <w:abstractNumId w:val="14"/>
  </w:num>
  <w:num w:numId="18">
    <w:abstractNumId w:val="2"/>
  </w:num>
  <w:num w:numId="19">
    <w:abstractNumId w:val="7"/>
  </w:num>
  <w:num w:numId="20">
    <w:abstractNumId w:val="20"/>
  </w:num>
  <w:num w:numId="21">
    <w:abstractNumId w:val="4"/>
  </w:num>
  <w:num w:numId="22">
    <w:abstractNumId w:val="0"/>
  </w:num>
  <w:num w:numId="23">
    <w:abstractNumId w:val="19"/>
  </w:num>
  <w:num w:numId="24">
    <w:abstractNumId w:val="16"/>
  </w:num>
  <w:num w:numId="25">
    <w:abstractNumId w:val="13"/>
  </w:num>
  <w:num w:numId="26">
    <w:abstractNumId w:val="11"/>
  </w:num>
  <w:num w:numId="27">
    <w:abstractNumId w:val="8"/>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4E44"/>
    <w:rsid w:val="000028B4"/>
    <w:rsid w:val="000261B0"/>
    <w:rsid w:val="00030EE4"/>
    <w:rsid w:val="00045EA7"/>
    <w:rsid w:val="000718DF"/>
    <w:rsid w:val="000B4AEB"/>
    <w:rsid w:val="000D2872"/>
    <w:rsid w:val="000E5D06"/>
    <w:rsid w:val="000E7FBF"/>
    <w:rsid w:val="00105B2F"/>
    <w:rsid w:val="00106953"/>
    <w:rsid w:val="00132678"/>
    <w:rsid w:val="00140578"/>
    <w:rsid w:val="00155986"/>
    <w:rsid w:val="001913C4"/>
    <w:rsid w:val="001C04FA"/>
    <w:rsid w:val="002475B3"/>
    <w:rsid w:val="00264151"/>
    <w:rsid w:val="00273D65"/>
    <w:rsid w:val="00280A4F"/>
    <w:rsid w:val="00281AD1"/>
    <w:rsid w:val="00287D93"/>
    <w:rsid w:val="002C2184"/>
    <w:rsid w:val="002D4F61"/>
    <w:rsid w:val="003154AB"/>
    <w:rsid w:val="0033079D"/>
    <w:rsid w:val="0034199B"/>
    <w:rsid w:val="003463F7"/>
    <w:rsid w:val="003C7B40"/>
    <w:rsid w:val="003D286B"/>
    <w:rsid w:val="00414AF2"/>
    <w:rsid w:val="0043196B"/>
    <w:rsid w:val="00457AF8"/>
    <w:rsid w:val="0046361B"/>
    <w:rsid w:val="0048565F"/>
    <w:rsid w:val="00493E82"/>
    <w:rsid w:val="0049739E"/>
    <w:rsid w:val="00497AD6"/>
    <w:rsid w:val="004C03B1"/>
    <w:rsid w:val="004C5969"/>
    <w:rsid w:val="004D770F"/>
    <w:rsid w:val="004E2076"/>
    <w:rsid w:val="004F45B6"/>
    <w:rsid w:val="00501F97"/>
    <w:rsid w:val="0054725C"/>
    <w:rsid w:val="00550049"/>
    <w:rsid w:val="00576F79"/>
    <w:rsid w:val="00585B43"/>
    <w:rsid w:val="00595CD1"/>
    <w:rsid w:val="005B04B0"/>
    <w:rsid w:val="005B0AAE"/>
    <w:rsid w:val="005B0AB0"/>
    <w:rsid w:val="006337AC"/>
    <w:rsid w:val="0064515F"/>
    <w:rsid w:val="00646939"/>
    <w:rsid w:val="006B2422"/>
    <w:rsid w:val="006B7934"/>
    <w:rsid w:val="006D5D1E"/>
    <w:rsid w:val="00701D7C"/>
    <w:rsid w:val="00703C02"/>
    <w:rsid w:val="007101BE"/>
    <w:rsid w:val="00721A76"/>
    <w:rsid w:val="00724122"/>
    <w:rsid w:val="007254F1"/>
    <w:rsid w:val="007353A2"/>
    <w:rsid w:val="007468E1"/>
    <w:rsid w:val="00765A3A"/>
    <w:rsid w:val="00775576"/>
    <w:rsid w:val="00787600"/>
    <w:rsid w:val="00795247"/>
    <w:rsid w:val="007A1D21"/>
    <w:rsid w:val="007A7701"/>
    <w:rsid w:val="007E3007"/>
    <w:rsid w:val="007F564B"/>
    <w:rsid w:val="007F569F"/>
    <w:rsid w:val="007F64FC"/>
    <w:rsid w:val="007F6F18"/>
    <w:rsid w:val="008045E4"/>
    <w:rsid w:val="00825036"/>
    <w:rsid w:val="00840DBA"/>
    <w:rsid w:val="00842A91"/>
    <w:rsid w:val="0084461A"/>
    <w:rsid w:val="00847804"/>
    <w:rsid w:val="008A0EFB"/>
    <w:rsid w:val="008A2B56"/>
    <w:rsid w:val="008C47BC"/>
    <w:rsid w:val="008D7CD4"/>
    <w:rsid w:val="008F37E5"/>
    <w:rsid w:val="008F49CD"/>
    <w:rsid w:val="00910AA2"/>
    <w:rsid w:val="00952A2C"/>
    <w:rsid w:val="00952B95"/>
    <w:rsid w:val="009537EC"/>
    <w:rsid w:val="00965A8B"/>
    <w:rsid w:val="00974768"/>
    <w:rsid w:val="009841B1"/>
    <w:rsid w:val="009E329E"/>
    <w:rsid w:val="009F1787"/>
    <w:rsid w:val="009F3E37"/>
    <w:rsid w:val="009F617B"/>
    <w:rsid w:val="00A02D46"/>
    <w:rsid w:val="00A25D8C"/>
    <w:rsid w:val="00A43A6F"/>
    <w:rsid w:val="00A738A2"/>
    <w:rsid w:val="00A768E3"/>
    <w:rsid w:val="00A951D5"/>
    <w:rsid w:val="00A978C5"/>
    <w:rsid w:val="00AA0BD4"/>
    <w:rsid w:val="00AA1E98"/>
    <w:rsid w:val="00AC10C8"/>
    <w:rsid w:val="00AC723F"/>
    <w:rsid w:val="00AD6B98"/>
    <w:rsid w:val="00AF248B"/>
    <w:rsid w:val="00B0670D"/>
    <w:rsid w:val="00B11477"/>
    <w:rsid w:val="00B46F94"/>
    <w:rsid w:val="00B55D47"/>
    <w:rsid w:val="00B55D5F"/>
    <w:rsid w:val="00B63876"/>
    <w:rsid w:val="00B64B36"/>
    <w:rsid w:val="00B65FA8"/>
    <w:rsid w:val="00B819F5"/>
    <w:rsid w:val="00B93650"/>
    <w:rsid w:val="00BA50B7"/>
    <w:rsid w:val="00BC1496"/>
    <w:rsid w:val="00BC543A"/>
    <w:rsid w:val="00BD4E44"/>
    <w:rsid w:val="00BD6222"/>
    <w:rsid w:val="00BE0F85"/>
    <w:rsid w:val="00BF22B0"/>
    <w:rsid w:val="00C45AD7"/>
    <w:rsid w:val="00C60278"/>
    <w:rsid w:val="00C73317"/>
    <w:rsid w:val="00C851D6"/>
    <w:rsid w:val="00C94230"/>
    <w:rsid w:val="00CC3DF9"/>
    <w:rsid w:val="00CE7D88"/>
    <w:rsid w:val="00D22EA7"/>
    <w:rsid w:val="00D22F1E"/>
    <w:rsid w:val="00D3102D"/>
    <w:rsid w:val="00D52F43"/>
    <w:rsid w:val="00D92158"/>
    <w:rsid w:val="00DB424E"/>
    <w:rsid w:val="00DE7284"/>
    <w:rsid w:val="00E02714"/>
    <w:rsid w:val="00E051AA"/>
    <w:rsid w:val="00E33434"/>
    <w:rsid w:val="00E808A3"/>
    <w:rsid w:val="00E92BAC"/>
    <w:rsid w:val="00EA07FA"/>
    <w:rsid w:val="00EA534F"/>
    <w:rsid w:val="00F10B64"/>
    <w:rsid w:val="00F116E3"/>
    <w:rsid w:val="00F17C78"/>
    <w:rsid w:val="00F21D77"/>
    <w:rsid w:val="00F2496B"/>
    <w:rsid w:val="00F62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614867-C9F7-4C18-B233-F3F1188D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ListParagraph"/>
    <w:next w:val="Normal"/>
    <w:link w:val="Heading1Ch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Heading2">
    <w:name w:val="heading 2"/>
    <w:basedOn w:val="ListParagraph"/>
    <w:next w:val="Normal"/>
    <w:link w:val="Heading2Ch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Heading3">
    <w:name w:val="heading 3"/>
    <w:basedOn w:val="ListParagraph"/>
    <w:next w:val="Normal"/>
    <w:link w:val="Heading3Ch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CD4"/>
    <w:rPr>
      <w:rFonts w:asciiTheme="majorHAnsi" w:hAnsiTheme="majorHAnsi"/>
      <w:b/>
      <w:color w:val="4F81BD" w:themeColor="accent1"/>
      <w:sz w:val="26"/>
      <w:szCs w:val="26"/>
    </w:rPr>
  </w:style>
  <w:style w:type="character" w:customStyle="1" w:styleId="Heading1Char">
    <w:name w:val="Heading 1 Char"/>
    <w:basedOn w:val="DefaultParagraphFont"/>
    <w:link w:val="Heading1"/>
    <w:uiPriority w:val="9"/>
    <w:rsid w:val="008D7CD4"/>
    <w:rPr>
      <w:rFonts w:asciiTheme="majorHAnsi" w:hAnsiTheme="majorHAnsi"/>
      <w:b/>
      <w:color w:val="365F91" w:themeColor="accent1" w:themeShade="BF"/>
      <w:sz w:val="28"/>
      <w:szCs w:val="28"/>
    </w:rPr>
  </w:style>
  <w:style w:type="paragraph" w:styleId="ListParagraph">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8D7CD4"/>
    <w:rPr>
      <w:rFonts w:asciiTheme="majorHAnsi" w:hAnsiTheme="majorHAnsi"/>
      <w:b/>
      <w:color w:val="4F81BD" w:themeColor="accent1"/>
    </w:rPr>
  </w:style>
  <w:style w:type="paragraph" w:styleId="Header">
    <w:name w:val="header"/>
    <w:basedOn w:val="Normal"/>
    <w:link w:val="HeaderCh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7E3007"/>
  </w:style>
  <w:style w:type="paragraph" w:styleId="Footer">
    <w:name w:val="footer"/>
    <w:basedOn w:val="Normal"/>
    <w:link w:val="FooterChar"/>
    <w:uiPriority w:val="99"/>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3007"/>
  </w:style>
  <w:style w:type="table" w:styleId="TableGrid">
    <w:name w:val="Table Grid"/>
    <w:basedOn w:val="TableNormal"/>
    <w:rsid w:val="007E30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00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E3007"/>
    <w:rPr>
      <w:rFonts w:ascii="Tahoma" w:hAnsi="Tahoma" w:cs="Tahoma"/>
      <w:sz w:val="16"/>
      <w:szCs w:val="16"/>
    </w:rPr>
  </w:style>
  <w:style w:type="character" w:styleId="Hyperlink">
    <w:name w:val="Hyperlink"/>
    <w:basedOn w:val="DefaultParagraphFont"/>
    <w:uiPriority w:val="99"/>
    <w:unhideWhenUsed/>
    <w:rsid w:val="008A0EFB"/>
    <w:rPr>
      <w:color w:val="0000FF"/>
      <w:u w:val="single"/>
    </w:rPr>
  </w:style>
  <w:style w:type="paragraph" w:customStyle="1" w:styleId="western">
    <w:name w:val="western"/>
    <w:basedOn w:val="Normal"/>
    <w:rsid w:val="00952A2C"/>
    <w:pPr>
      <w:spacing w:before="100" w:beforeAutospacing="1" w:after="119"/>
    </w:pPr>
  </w:style>
  <w:style w:type="character" w:styleId="FollowedHyperlink">
    <w:name w:val="FollowedHyperlink"/>
    <w:basedOn w:val="DefaultParagraphFont"/>
    <w:uiPriority w:val="99"/>
    <w:semiHidden/>
    <w:unhideWhenUsed/>
    <w:rsid w:val="00C851D6"/>
    <w:rPr>
      <w:color w:val="800080" w:themeColor="followedHyperlink"/>
      <w:u w:val="single"/>
    </w:rPr>
  </w:style>
  <w:style w:type="character" w:styleId="CommentReference">
    <w:name w:val="annotation reference"/>
    <w:basedOn w:val="DefaultParagraphFont"/>
    <w:uiPriority w:val="99"/>
    <w:semiHidden/>
    <w:unhideWhenUsed/>
    <w:rsid w:val="00787600"/>
    <w:rPr>
      <w:sz w:val="16"/>
      <w:szCs w:val="16"/>
    </w:rPr>
  </w:style>
  <w:style w:type="paragraph" w:styleId="CommentText">
    <w:name w:val="annotation text"/>
    <w:basedOn w:val="Normal"/>
    <w:link w:val="CommentTextChar"/>
    <w:uiPriority w:val="99"/>
    <w:semiHidden/>
    <w:unhideWhenUsed/>
    <w:rsid w:val="00787600"/>
    <w:rPr>
      <w:sz w:val="20"/>
      <w:szCs w:val="20"/>
    </w:rPr>
  </w:style>
  <w:style w:type="character" w:customStyle="1" w:styleId="CommentTextChar">
    <w:name w:val="Comment Text Char"/>
    <w:basedOn w:val="DefaultParagraphFont"/>
    <w:link w:val="CommentText"/>
    <w:uiPriority w:val="99"/>
    <w:semiHidden/>
    <w:rsid w:val="00787600"/>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787600"/>
    <w:rPr>
      <w:b/>
      <w:bCs/>
    </w:rPr>
  </w:style>
  <w:style w:type="character" w:customStyle="1" w:styleId="CommentSubjectChar">
    <w:name w:val="Comment Subject Char"/>
    <w:basedOn w:val="CommentTextChar"/>
    <w:link w:val="CommentSubject"/>
    <w:uiPriority w:val="99"/>
    <w:semiHidden/>
    <w:rsid w:val="00787600"/>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629">
      <w:bodyDiv w:val="1"/>
      <w:marLeft w:val="0"/>
      <w:marRight w:val="0"/>
      <w:marTop w:val="0"/>
      <w:marBottom w:val="0"/>
      <w:divBdr>
        <w:top w:val="none" w:sz="0" w:space="0" w:color="auto"/>
        <w:left w:val="none" w:sz="0" w:space="0" w:color="auto"/>
        <w:bottom w:val="none" w:sz="0" w:space="0" w:color="auto"/>
        <w:right w:val="none" w:sz="0" w:space="0" w:color="auto"/>
      </w:divBdr>
    </w:div>
    <w:div w:id="709451296">
      <w:bodyDiv w:val="1"/>
      <w:marLeft w:val="0"/>
      <w:marRight w:val="0"/>
      <w:marTop w:val="0"/>
      <w:marBottom w:val="0"/>
      <w:divBdr>
        <w:top w:val="none" w:sz="0" w:space="0" w:color="auto"/>
        <w:left w:val="none" w:sz="0" w:space="0" w:color="auto"/>
        <w:bottom w:val="none" w:sz="0" w:space="0" w:color="auto"/>
        <w:right w:val="none" w:sz="0" w:space="0" w:color="auto"/>
      </w:divBdr>
    </w:div>
    <w:div w:id="1039823187">
      <w:bodyDiv w:val="1"/>
      <w:marLeft w:val="0"/>
      <w:marRight w:val="0"/>
      <w:marTop w:val="0"/>
      <w:marBottom w:val="0"/>
      <w:divBdr>
        <w:top w:val="none" w:sz="0" w:space="0" w:color="auto"/>
        <w:left w:val="none" w:sz="0" w:space="0" w:color="auto"/>
        <w:bottom w:val="none" w:sz="0" w:space="0" w:color="auto"/>
        <w:right w:val="none" w:sz="0" w:space="0" w:color="auto"/>
      </w:divBdr>
    </w:div>
    <w:div w:id="1167674149">
      <w:bodyDiv w:val="1"/>
      <w:marLeft w:val="0"/>
      <w:marRight w:val="0"/>
      <w:marTop w:val="0"/>
      <w:marBottom w:val="0"/>
      <w:divBdr>
        <w:top w:val="none" w:sz="0" w:space="0" w:color="auto"/>
        <w:left w:val="none" w:sz="0" w:space="0" w:color="auto"/>
        <w:bottom w:val="none" w:sz="0" w:space="0" w:color="auto"/>
        <w:right w:val="none" w:sz="0" w:space="0" w:color="auto"/>
      </w:divBdr>
    </w:div>
    <w:div w:id="1340698260">
      <w:bodyDiv w:val="1"/>
      <w:marLeft w:val="0"/>
      <w:marRight w:val="0"/>
      <w:marTop w:val="0"/>
      <w:marBottom w:val="0"/>
      <w:divBdr>
        <w:top w:val="none" w:sz="0" w:space="0" w:color="auto"/>
        <w:left w:val="none" w:sz="0" w:space="0" w:color="auto"/>
        <w:bottom w:val="none" w:sz="0" w:space="0" w:color="auto"/>
        <w:right w:val="none" w:sz="0" w:space="0" w:color="auto"/>
      </w:divBdr>
    </w:div>
    <w:div w:id="1954433328">
      <w:bodyDiv w:val="1"/>
      <w:marLeft w:val="0"/>
      <w:marRight w:val="0"/>
      <w:marTop w:val="0"/>
      <w:marBottom w:val="0"/>
      <w:divBdr>
        <w:top w:val="none" w:sz="0" w:space="0" w:color="auto"/>
        <w:left w:val="none" w:sz="0" w:space="0" w:color="auto"/>
        <w:bottom w:val="none" w:sz="0" w:space="0" w:color="auto"/>
        <w:right w:val="none" w:sz="0" w:space="0" w:color="auto"/>
      </w:divBdr>
    </w:div>
    <w:div w:id="1988513964">
      <w:bodyDiv w:val="1"/>
      <w:marLeft w:val="0"/>
      <w:marRight w:val="0"/>
      <w:marTop w:val="0"/>
      <w:marBottom w:val="0"/>
      <w:divBdr>
        <w:top w:val="none" w:sz="0" w:space="0" w:color="auto"/>
        <w:left w:val="none" w:sz="0" w:space="0" w:color="auto"/>
        <w:bottom w:val="none" w:sz="0" w:space="0" w:color="auto"/>
        <w:right w:val="none" w:sz="0" w:space="0" w:color="auto"/>
      </w:divBdr>
    </w:div>
    <w:div w:id="21194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20-%20SIOE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 - SIOEA.dotx</Template>
  <TotalTime>243</TotalTime>
  <Pages>2</Pages>
  <Words>757</Words>
  <Characters>4165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INRA</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albenard</dc:creator>
  <cp:lastModifiedBy>alain</cp:lastModifiedBy>
  <cp:revision>19</cp:revision>
  <dcterms:created xsi:type="dcterms:W3CDTF">2014-07-11T07:48:00Z</dcterms:created>
  <dcterms:modified xsi:type="dcterms:W3CDTF">2015-04-13T14:11:00Z</dcterms:modified>
</cp:coreProperties>
</file>