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007" w:rsidRDefault="007E3007" w:rsidP="007E3007">
      <w:pPr>
        <w:rPr>
          <w:u w:val="single"/>
        </w:rPr>
      </w:pPr>
      <w:r w:rsidRPr="00993994">
        <w:rPr>
          <w:u w:val="single"/>
        </w:rPr>
        <w:t>Participants :</w:t>
      </w:r>
    </w:p>
    <w:p w:rsidR="00F5107E" w:rsidRDefault="00C410D1">
      <w:r>
        <w:t xml:space="preserve">Alain </w:t>
      </w:r>
      <w:proofErr w:type="spellStart"/>
      <w:r>
        <w:t>Benard</w:t>
      </w:r>
      <w:proofErr w:type="spellEnd"/>
    </w:p>
    <w:p w:rsidR="00C410D1" w:rsidRDefault="00C410D1">
      <w:r>
        <w:t xml:space="preserve">Benoît </w:t>
      </w:r>
      <w:proofErr w:type="spellStart"/>
      <w:r>
        <w:t>Toutain</w:t>
      </w:r>
      <w:proofErr w:type="spellEnd"/>
    </w:p>
    <w:p w:rsidR="00C410D1" w:rsidRDefault="00C410D1">
      <w:r>
        <w:t xml:space="preserve">Estelle </w:t>
      </w:r>
      <w:proofErr w:type="spellStart"/>
      <w:r>
        <w:t>Ancelet</w:t>
      </w:r>
      <w:proofErr w:type="spellEnd"/>
    </w:p>
    <w:p w:rsidR="00C410D1" w:rsidRDefault="00C410D1"/>
    <w:p w:rsidR="00C410D1" w:rsidRPr="00C410D1" w:rsidRDefault="00C410D1">
      <w:pPr>
        <w:rPr>
          <w:u w:val="single"/>
        </w:rPr>
      </w:pPr>
      <w:r w:rsidRPr="00C410D1">
        <w:rPr>
          <w:u w:val="single"/>
        </w:rPr>
        <w:t>Excusés :</w:t>
      </w:r>
    </w:p>
    <w:p w:rsidR="00C410D1" w:rsidRDefault="00C410D1"/>
    <w:p w:rsidR="00C410D1" w:rsidRDefault="00C410D1">
      <w:r>
        <w:t xml:space="preserve">Malgré une faible participation la réunion s’est tenue en </w:t>
      </w:r>
      <w:proofErr w:type="spellStart"/>
      <w:r>
        <w:t>visio</w:t>
      </w:r>
      <w:proofErr w:type="spellEnd"/>
      <w:r>
        <w:t xml:space="preserve"> avec un ordre du jour en 3 points :</w:t>
      </w:r>
    </w:p>
    <w:p w:rsidR="00C410D1" w:rsidRDefault="00C410D1" w:rsidP="00C410D1">
      <w:pPr>
        <w:pStyle w:val="ListParagraph"/>
        <w:numPr>
          <w:ilvl w:val="0"/>
          <w:numId w:val="14"/>
        </w:numPr>
      </w:pPr>
      <w:r>
        <w:t>Point sur les feuilles de route</w:t>
      </w:r>
    </w:p>
    <w:p w:rsidR="00C410D1" w:rsidRDefault="00C410D1" w:rsidP="00C410D1">
      <w:pPr>
        <w:pStyle w:val="ListParagraph"/>
        <w:numPr>
          <w:ilvl w:val="0"/>
          <w:numId w:val="14"/>
        </w:numPr>
      </w:pPr>
      <w:r>
        <w:t>Retour sur l’autoévaluation à mi-parcours.</w:t>
      </w:r>
    </w:p>
    <w:p w:rsidR="00C410D1" w:rsidRDefault="00C410D1" w:rsidP="00C410D1">
      <w:pPr>
        <w:pStyle w:val="ListParagraph"/>
        <w:numPr>
          <w:ilvl w:val="0"/>
          <w:numId w:val="14"/>
        </w:numPr>
      </w:pPr>
      <w:r>
        <w:t>Discussion sur l’utilisation du budget 2016.</w:t>
      </w:r>
    </w:p>
    <w:p w:rsidR="00C410D1" w:rsidRDefault="00C410D1" w:rsidP="00C410D1"/>
    <w:p w:rsidR="00C410D1" w:rsidRPr="005C7141" w:rsidRDefault="00C410D1" w:rsidP="005C7141">
      <w:pPr>
        <w:jc w:val="both"/>
        <w:rPr>
          <w:b/>
          <w:u w:val="single"/>
        </w:rPr>
      </w:pPr>
      <w:r w:rsidRPr="005C7141">
        <w:rPr>
          <w:b/>
          <w:u w:val="single"/>
        </w:rPr>
        <w:t>Feuilles de routes :</w:t>
      </w:r>
    </w:p>
    <w:p w:rsidR="00C410D1" w:rsidRDefault="00C410D1" w:rsidP="005C7141">
      <w:pPr>
        <w:pStyle w:val="ListParagraph"/>
        <w:numPr>
          <w:ilvl w:val="0"/>
          <w:numId w:val="15"/>
        </w:numPr>
        <w:jc w:val="both"/>
      </w:pPr>
      <w:r>
        <w:t xml:space="preserve">Malgré une planification au plutôt et plusieurs relances ce système ne fonctionne pas très bien et aucun pôle n’est en mesure de rassembler les feuilles de route individuelles pour construire une feuille de route au niveau du pôle. </w:t>
      </w:r>
    </w:p>
    <w:p w:rsidR="00C410D1" w:rsidRDefault="00C410D1" w:rsidP="005C7141">
      <w:pPr>
        <w:pStyle w:val="ListParagraph"/>
        <w:numPr>
          <w:ilvl w:val="0"/>
          <w:numId w:val="15"/>
        </w:numPr>
        <w:jc w:val="both"/>
      </w:pPr>
      <w:r>
        <w:t>Alain pense que les feuilles de routes individuelles ne peuvent être qu’un éventuel outil propre à chaque pôle, chaque pôle étant libre de fonctionner comme bon lui semble, et qu’il vaudrait mieux réfléchir à une meilleure lisibilité des travaux et surtout des orientations des pôles pour l’équipe d’animation.</w:t>
      </w:r>
      <w:r w:rsidR="005C7141">
        <w:t xml:space="preserve"> </w:t>
      </w:r>
    </w:p>
    <w:p w:rsidR="00C410D1" w:rsidRDefault="00C410D1" w:rsidP="005C7141">
      <w:pPr>
        <w:pStyle w:val="ListParagraph"/>
        <w:numPr>
          <w:ilvl w:val="0"/>
          <w:numId w:val="15"/>
        </w:numPr>
        <w:jc w:val="both"/>
      </w:pPr>
      <w:r>
        <w:t>Oralement un point est fait sur les actions transverses à titre d’orientation 2016 de ces travaux :</w:t>
      </w:r>
    </w:p>
    <w:p w:rsidR="00C410D1" w:rsidRDefault="00C410D1" w:rsidP="005C7141">
      <w:pPr>
        <w:pStyle w:val="ListParagraph"/>
        <w:numPr>
          <w:ilvl w:val="1"/>
          <w:numId w:val="15"/>
        </w:numPr>
        <w:jc w:val="both"/>
      </w:pPr>
      <w:r>
        <w:t xml:space="preserve">Action Infrastructure : consolidation en cours avec un scénario vraisemblable de migration des infrastructures d’Orléans </w:t>
      </w:r>
      <w:r w:rsidR="005C7141">
        <w:t>vers un Data Center INRA – au niveau CATI l’action devra ensuite se poursuivre avec une communication vers les collègues pour inciter d’autres unités à prendre la direction des Data Center en bénéficiant de cette expérience.</w:t>
      </w:r>
    </w:p>
    <w:p w:rsidR="005C7141" w:rsidRDefault="005C7141" w:rsidP="005C7141">
      <w:pPr>
        <w:pStyle w:val="ListParagraph"/>
        <w:numPr>
          <w:ilvl w:val="1"/>
          <w:numId w:val="15"/>
        </w:numPr>
        <w:jc w:val="both"/>
      </w:pPr>
      <w:r>
        <w:t>Action IDS : poursuite des travaux en cours et des montées de version sont à maintenir. 2 projets majeurs s’appuyant sur l’IDS des contacts et autres idées d’utilisation sont évoquées, notamment par Benoît (monitoring réseau de la qualité des sols …)</w:t>
      </w:r>
    </w:p>
    <w:p w:rsidR="005C7141" w:rsidRDefault="005C7141" w:rsidP="005C7141">
      <w:pPr>
        <w:pStyle w:val="ListParagraph"/>
        <w:numPr>
          <w:ilvl w:val="1"/>
          <w:numId w:val="15"/>
        </w:numPr>
        <w:jc w:val="both"/>
      </w:pPr>
      <w:r>
        <w:t>Action outils Dev : la participation du CATI à un groupe désormais national se poursuit et nous pouvons espérer un positionnement de l’institut sur la question des forges dans le courant du second semestre avec une réalisation concrète plus ou moins longue selon le scénario qui sera retenu.</w:t>
      </w:r>
    </w:p>
    <w:p w:rsidR="005C7141" w:rsidRDefault="005C7141" w:rsidP="005C7141">
      <w:pPr>
        <w:pStyle w:val="ListParagraph"/>
        <w:numPr>
          <w:ilvl w:val="1"/>
          <w:numId w:val="15"/>
        </w:numPr>
        <w:jc w:val="both"/>
      </w:pPr>
      <w:r>
        <w:t>Site Web : il paraît désormais un peu tard pour démarrer un site web sauf si les pôles y voient un intérêt fort et s’engagent à fournir du contenu.</w:t>
      </w:r>
    </w:p>
    <w:p w:rsidR="005C7141" w:rsidRDefault="005C7141" w:rsidP="005C7141">
      <w:pPr>
        <w:pStyle w:val="ListParagraph"/>
        <w:numPr>
          <w:ilvl w:val="0"/>
          <w:numId w:val="15"/>
        </w:numPr>
        <w:jc w:val="both"/>
      </w:pPr>
      <w:r>
        <w:t>Estelle pense pouvoir fournir prochainement les feuilles de route du pôle ITI.</w:t>
      </w:r>
    </w:p>
    <w:p w:rsidR="00E953E6" w:rsidRDefault="00E953E6" w:rsidP="005C7141">
      <w:pPr>
        <w:pStyle w:val="ListParagraph"/>
        <w:numPr>
          <w:ilvl w:val="0"/>
          <w:numId w:val="15"/>
        </w:numPr>
        <w:jc w:val="both"/>
      </w:pPr>
      <w:r>
        <w:t>Benoît précise que les feuilles de route du pôle SOL réalisées ou supposées, sont de nature plutôt à une reconduction de la version précédente.</w:t>
      </w:r>
    </w:p>
    <w:p w:rsidR="00E953E6" w:rsidRDefault="00E953E6" w:rsidP="005C7141">
      <w:pPr>
        <w:pStyle w:val="ListParagraph"/>
        <w:numPr>
          <w:ilvl w:val="0"/>
          <w:numId w:val="15"/>
        </w:numPr>
        <w:jc w:val="both"/>
      </w:pPr>
      <w:r>
        <w:lastRenderedPageBreak/>
        <w:t>Alain précise que les feuilles de route individuelles du pôle CLIMAT ont été fournies.</w:t>
      </w:r>
    </w:p>
    <w:p w:rsidR="005C7141" w:rsidRPr="005C7141" w:rsidRDefault="005C7141" w:rsidP="005C7141">
      <w:pPr>
        <w:jc w:val="both"/>
        <w:rPr>
          <w:b/>
          <w:u w:val="single"/>
        </w:rPr>
      </w:pPr>
      <w:r w:rsidRPr="005C7141">
        <w:rPr>
          <w:b/>
          <w:u w:val="single"/>
        </w:rPr>
        <w:t>Evaluation mi-parcours</w:t>
      </w:r>
      <w:r>
        <w:rPr>
          <w:b/>
          <w:u w:val="single"/>
        </w:rPr>
        <w:t> </w:t>
      </w:r>
      <w:r w:rsidRPr="005C7141">
        <w:rPr>
          <w:b/>
          <w:u w:val="single"/>
        </w:rPr>
        <w:t>:</w:t>
      </w:r>
    </w:p>
    <w:p w:rsidR="005C7141" w:rsidRDefault="005C7141" w:rsidP="005C7141">
      <w:pPr>
        <w:ind w:left="708"/>
        <w:jc w:val="both"/>
      </w:pPr>
      <w:r>
        <w:t>Alain rappelle que le CATI est bien perçu et son fonctionnement apprécié, même si le risque de fonctionnement en silo est pointé</w:t>
      </w:r>
      <w:r w:rsidR="00E953E6">
        <w:t>. 2 points d’accroche avec d’autres CATIs sont suggérés :</w:t>
      </w:r>
    </w:p>
    <w:p w:rsidR="00E953E6" w:rsidRDefault="00E953E6" w:rsidP="00E953E6">
      <w:pPr>
        <w:pStyle w:val="ListParagraph"/>
        <w:numPr>
          <w:ilvl w:val="0"/>
          <w:numId w:val="16"/>
        </w:numPr>
        <w:jc w:val="both"/>
      </w:pPr>
      <w:r>
        <w:t>Infrastructure de Données Spatiales avec le CATI ACTION (essentiellement SAD)</w:t>
      </w:r>
    </w:p>
    <w:p w:rsidR="00E953E6" w:rsidRDefault="00E953E6" w:rsidP="00E953E6">
      <w:pPr>
        <w:pStyle w:val="ListParagraph"/>
        <w:numPr>
          <w:ilvl w:val="0"/>
          <w:numId w:val="16"/>
        </w:numPr>
        <w:jc w:val="both"/>
      </w:pPr>
      <w:r>
        <w:t>Ingénierie des connaissances avec le CATI CODEX</w:t>
      </w:r>
    </w:p>
    <w:p w:rsidR="00E953E6" w:rsidRDefault="00E953E6" w:rsidP="00E953E6">
      <w:pPr>
        <w:ind w:left="708"/>
        <w:jc w:val="both"/>
      </w:pPr>
      <w:r>
        <w:t>Nous sommes en attente d’une réunion avec le CATI ACTION que DTN solliciterai à notre demande.</w:t>
      </w:r>
    </w:p>
    <w:p w:rsidR="00E953E6" w:rsidRDefault="00E953E6" w:rsidP="00E953E6">
      <w:pPr>
        <w:ind w:left="708"/>
        <w:jc w:val="both"/>
      </w:pPr>
    </w:p>
    <w:p w:rsidR="004626EC" w:rsidRDefault="004626EC" w:rsidP="00E953E6">
      <w:pPr>
        <w:ind w:left="708"/>
        <w:jc w:val="both"/>
      </w:pPr>
      <w:r>
        <w:t>Pas de remarque ou commentaire particulier sur le retour effectué par DTN début 2016.</w:t>
      </w:r>
    </w:p>
    <w:p w:rsidR="004626EC" w:rsidRDefault="004626EC" w:rsidP="00E953E6">
      <w:pPr>
        <w:ind w:left="708"/>
        <w:jc w:val="both"/>
      </w:pPr>
    </w:p>
    <w:p w:rsidR="004626EC" w:rsidRPr="004626EC" w:rsidRDefault="004626EC" w:rsidP="004626EC">
      <w:pPr>
        <w:jc w:val="both"/>
        <w:rPr>
          <w:b/>
          <w:u w:val="single"/>
        </w:rPr>
      </w:pPr>
      <w:r w:rsidRPr="004626EC">
        <w:rPr>
          <w:b/>
          <w:u w:val="single"/>
        </w:rPr>
        <w:t>Budget 2016 :</w:t>
      </w:r>
    </w:p>
    <w:p w:rsidR="004626EC" w:rsidRDefault="004626EC" w:rsidP="004626EC">
      <w:pPr>
        <w:ind w:left="708"/>
        <w:jc w:val="both"/>
      </w:pPr>
      <w:r>
        <w:t>Alain rappelle qu’il n’y aura pas d’AG en 2016 (engagement bisannuel) et qu’il n’y a pas de besoin fort comme en 2014 où une grosse partie du budget a financé du support pour l’IDS afin de sécuriser son année de mise en production et de la formation associé à cet outillage.</w:t>
      </w:r>
    </w:p>
    <w:p w:rsidR="004626EC" w:rsidRDefault="004A4F30" w:rsidP="004626EC">
      <w:pPr>
        <w:ind w:left="708"/>
        <w:jc w:val="both"/>
      </w:pPr>
      <w:r>
        <w:t>Des idées ayant déjà été émises par mail Alain rappelle que nous n’avons pas la possibilité de financer de la main d’œuvre, contrairement à ce que l’on pensait, et que le soutien au développement d’un web service (météo ou sol) n’est pas réalisable.</w:t>
      </w:r>
    </w:p>
    <w:p w:rsidR="004A4F30" w:rsidRDefault="004A4F30" w:rsidP="004626EC">
      <w:pPr>
        <w:ind w:left="708"/>
        <w:jc w:val="both"/>
      </w:pPr>
    </w:p>
    <w:p w:rsidR="004A4F30" w:rsidRDefault="004A4F30" w:rsidP="004626EC">
      <w:pPr>
        <w:ind w:left="708"/>
        <w:jc w:val="both"/>
      </w:pPr>
      <w:r>
        <w:t>Le soutien abordé par mail avec Patrick et Benoît (</w:t>
      </w:r>
      <w:r>
        <w:t xml:space="preserve">entrepôt de données de référence </w:t>
      </w:r>
      <w:proofErr w:type="spellStart"/>
      <w:r>
        <w:t>Agroclim</w:t>
      </w:r>
      <w:proofErr w:type="spellEnd"/>
      <w:r>
        <w:t xml:space="preserve"> / </w:t>
      </w:r>
      <w:proofErr w:type="spellStart"/>
      <w:r>
        <w:t>Infosol</w:t>
      </w:r>
      <w:proofErr w:type="spellEnd"/>
      <w:r>
        <w:t xml:space="preserve"> / ODR</w:t>
      </w:r>
      <w:r>
        <w:t>) ne pourra donc prendre qu’une forme type financement de réunion éventuelle.</w:t>
      </w:r>
    </w:p>
    <w:p w:rsidR="004A4F30" w:rsidRDefault="004A4F30" w:rsidP="004626EC">
      <w:pPr>
        <w:ind w:left="708"/>
        <w:jc w:val="both"/>
      </w:pPr>
    </w:p>
    <w:p w:rsidR="004A4F30" w:rsidRDefault="004A4F30" w:rsidP="004626EC">
      <w:pPr>
        <w:ind w:left="708"/>
        <w:jc w:val="both"/>
      </w:pPr>
      <w:r>
        <w:t>Les échanges ont apporté d’autres idées d’utilisation du budget :</w:t>
      </w:r>
    </w:p>
    <w:p w:rsidR="004A4F30" w:rsidRDefault="004A4F30" w:rsidP="004A4F30">
      <w:pPr>
        <w:pStyle w:val="ListParagraph"/>
        <w:numPr>
          <w:ilvl w:val="0"/>
          <w:numId w:val="17"/>
        </w:numPr>
        <w:jc w:val="both"/>
      </w:pPr>
      <w:r>
        <w:t>Financement partiel de la migration de machines collectives vers le Data Center en fin d’année. Ceci pose la question du support de l’IDS collective par les tutelles et non sur le budget du CATI qui doit rester un budget d’animation sauf exception.</w:t>
      </w:r>
    </w:p>
    <w:p w:rsidR="004A4F30" w:rsidRDefault="004A4F30" w:rsidP="004A4F30">
      <w:pPr>
        <w:pStyle w:val="ListParagraph"/>
        <w:numPr>
          <w:ilvl w:val="0"/>
          <w:numId w:val="17"/>
        </w:numPr>
        <w:jc w:val="both"/>
      </w:pPr>
      <w:r>
        <w:t xml:space="preserve">Support logiciel </w:t>
      </w:r>
      <w:proofErr w:type="spellStart"/>
      <w:r>
        <w:t>Georchestra</w:t>
      </w:r>
      <w:proofErr w:type="spellEnd"/>
      <w:r>
        <w:t xml:space="preserve"> (IDS) : ici encore se pose la question du support récurrent de l’IDS, que ce soit pour l’infrastructure sous-jacente mais aussi pour le support logiciel nécessaire. Cette question sera mise à l’ordre du jour du CSO à l’automne.</w:t>
      </w:r>
    </w:p>
    <w:p w:rsidR="004A4F30" w:rsidRDefault="004A4F30" w:rsidP="004A4F30">
      <w:pPr>
        <w:pStyle w:val="ListParagraph"/>
        <w:numPr>
          <w:ilvl w:val="0"/>
          <w:numId w:val="17"/>
        </w:numPr>
        <w:jc w:val="both"/>
      </w:pPr>
      <w:r>
        <w:t>Le renouvellement de licence</w:t>
      </w:r>
      <w:r w:rsidR="00BB5D2A">
        <w:t>s</w:t>
      </w:r>
      <w:r>
        <w:t xml:space="preserve"> Power AMC (logiciel de modélisation [bases de données ou logiciel]). Benoît doit mener une enquête au sein du CATI pour voir quels collègues utilisent ce logiciel et à quelle fréquence de manière à dimensionner un nombre de jetons et </w:t>
      </w:r>
      <w:r w:rsidR="00BB5D2A">
        <w:t>estimer le montant.</w:t>
      </w:r>
    </w:p>
    <w:p w:rsidR="00BB5D2A" w:rsidRDefault="00BB5D2A" w:rsidP="004A4F30">
      <w:pPr>
        <w:pStyle w:val="ListParagraph"/>
        <w:numPr>
          <w:ilvl w:val="0"/>
          <w:numId w:val="17"/>
        </w:numPr>
        <w:jc w:val="both"/>
      </w:pPr>
      <w:r>
        <w:t>Une éventuelle formation ‘collectives’ et d’intérêt pour le CATI sous réserve d’avoir un porteur et l’audience suffisante.</w:t>
      </w:r>
    </w:p>
    <w:p w:rsidR="00BB5D2A" w:rsidRDefault="004978D6" w:rsidP="004978D6">
      <w:pPr>
        <w:ind w:left="708"/>
        <w:jc w:val="both"/>
      </w:pPr>
      <w:r>
        <w:t>Sur la base de ces idées, à compléter, il nous faudra décider dès l’automne (fin sept) de l’orientation de notre budget.</w:t>
      </w:r>
      <w:bookmarkStart w:id="0" w:name="_GoBack"/>
      <w:bookmarkEnd w:id="0"/>
    </w:p>
    <w:sectPr w:rsidR="00BB5D2A" w:rsidSect="0097476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30B" w:rsidRDefault="0077330B" w:rsidP="007E3007">
      <w:r>
        <w:separator/>
      </w:r>
    </w:p>
  </w:endnote>
  <w:endnote w:type="continuationSeparator" w:id="0">
    <w:p w:rsidR="0077330B" w:rsidRDefault="0077330B" w:rsidP="007E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Borders>
        <w:top w:val="single" w:sz="6" w:space="0" w:color="008000"/>
        <w:left w:val="single" w:sz="6" w:space="0" w:color="008000"/>
        <w:bottom w:val="single" w:sz="6" w:space="0" w:color="008000"/>
        <w:right w:val="single" w:sz="6" w:space="0" w:color="008000"/>
        <w:insideH w:val="single" w:sz="6" w:space="0" w:color="008000"/>
        <w:insideV w:val="single" w:sz="6" w:space="0" w:color="008000"/>
      </w:tblBorders>
      <w:tblLayout w:type="fixed"/>
      <w:tblCellMar>
        <w:left w:w="70" w:type="dxa"/>
        <w:right w:w="70" w:type="dxa"/>
      </w:tblCellMar>
      <w:tblLook w:val="0000" w:firstRow="0" w:lastRow="0" w:firstColumn="0" w:lastColumn="0" w:noHBand="0" w:noVBand="0"/>
    </w:tblPr>
    <w:tblGrid>
      <w:gridCol w:w="1843"/>
      <w:gridCol w:w="2552"/>
      <w:gridCol w:w="2551"/>
      <w:gridCol w:w="2552"/>
    </w:tblGrid>
    <w:tr w:rsidR="007E3007" w:rsidTr="007E3007">
      <w:tc>
        <w:tcPr>
          <w:tcW w:w="1843" w:type="dxa"/>
          <w:tcBorders>
            <w:top w:val="single" w:sz="6" w:space="0" w:color="008000"/>
            <w:left w:val="single" w:sz="6" w:space="0" w:color="008000"/>
            <w:bottom w:val="single" w:sz="6" w:space="0" w:color="008000"/>
            <w:right w:val="single" w:sz="6" w:space="0" w:color="008000"/>
          </w:tcBorders>
        </w:tcPr>
        <w:p w:rsidR="007E3007" w:rsidRDefault="007E3007" w:rsidP="003F295D">
          <w:pPr>
            <w:ind w:right="-9000"/>
            <w:jc w:val="center"/>
            <w:rPr>
              <w:b/>
            </w:rPr>
          </w:pPr>
        </w:p>
      </w:tc>
      <w:tc>
        <w:tcPr>
          <w:tcW w:w="2552" w:type="dxa"/>
          <w:tcBorders>
            <w:top w:val="single" w:sz="6" w:space="0" w:color="008000"/>
            <w:left w:val="single" w:sz="6" w:space="0" w:color="008000"/>
            <w:bottom w:val="single" w:sz="6" w:space="0" w:color="008000"/>
            <w:right w:val="single" w:sz="6" w:space="0" w:color="008000"/>
          </w:tcBorders>
        </w:tcPr>
        <w:p w:rsidR="007E3007" w:rsidRPr="007E3007" w:rsidRDefault="007E3007" w:rsidP="003F295D">
          <w:pPr>
            <w:jc w:val="center"/>
          </w:pPr>
          <w:r w:rsidRPr="007E3007">
            <w:t>Rédacteur</w:t>
          </w:r>
        </w:p>
      </w:tc>
      <w:tc>
        <w:tcPr>
          <w:tcW w:w="2551" w:type="dxa"/>
          <w:tcBorders>
            <w:top w:val="single" w:sz="6" w:space="0" w:color="008000"/>
            <w:left w:val="single" w:sz="6" w:space="0" w:color="008000"/>
            <w:bottom w:val="single" w:sz="6" w:space="0" w:color="008000"/>
            <w:right w:val="single" w:sz="6" w:space="0" w:color="008000"/>
          </w:tcBorders>
        </w:tcPr>
        <w:p w:rsidR="007E3007" w:rsidRPr="007E3007" w:rsidRDefault="007E3007" w:rsidP="003F295D">
          <w:pPr>
            <w:jc w:val="center"/>
          </w:pPr>
          <w:r w:rsidRPr="007E3007">
            <w:t>Vérificateur</w:t>
          </w:r>
        </w:p>
      </w:tc>
      <w:tc>
        <w:tcPr>
          <w:tcW w:w="2552" w:type="dxa"/>
          <w:tcBorders>
            <w:top w:val="single" w:sz="6" w:space="0" w:color="008000"/>
            <w:left w:val="single" w:sz="6" w:space="0" w:color="008000"/>
            <w:bottom w:val="single" w:sz="6" w:space="0" w:color="008000"/>
            <w:right w:val="single" w:sz="6" w:space="0" w:color="008000"/>
          </w:tcBorders>
        </w:tcPr>
        <w:p w:rsidR="007E3007" w:rsidRPr="007E3007" w:rsidRDefault="007E3007" w:rsidP="003F295D">
          <w:pPr>
            <w:jc w:val="center"/>
          </w:pPr>
          <w:r w:rsidRPr="007E3007">
            <w:t>Approbateur</w:t>
          </w:r>
        </w:p>
      </w:tc>
    </w:tr>
    <w:tr w:rsidR="007E3007" w:rsidTr="007E3007">
      <w:tc>
        <w:tcPr>
          <w:tcW w:w="1843" w:type="dxa"/>
          <w:tcBorders>
            <w:top w:val="single" w:sz="6" w:space="0" w:color="008000"/>
            <w:left w:val="single" w:sz="6" w:space="0" w:color="008000"/>
            <w:bottom w:val="single" w:sz="6" w:space="0" w:color="008000"/>
            <w:right w:val="single" w:sz="6" w:space="0" w:color="008000"/>
          </w:tcBorders>
        </w:tcPr>
        <w:p w:rsidR="007E3007" w:rsidRPr="007E3007" w:rsidRDefault="007E3007" w:rsidP="003F295D">
          <w:r w:rsidRPr="007E3007">
            <w:t xml:space="preserve">Nom : </w:t>
          </w:r>
        </w:p>
        <w:p w:rsidR="007E3007" w:rsidRDefault="007E3007" w:rsidP="003F295D"/>
      </w:tc>
      <w:tc>
        <w:tcPr>
          <w:tcW w:w="2552" w:type="dxa"/>
          <w:tcBorders>
            <w:top w:val="single" w:sz="6" w:space="0" w:color="008000"/>
            <w:left w:val="single" w:sz="6" w:space="0" w:color="008000"/>
            <w:bottom w:val="single" w:sz="6" w:space="0" w:color="008000"/>
            <w:right w:val="single" w:sz="6" w:space="0" w:color="008000"/>
          </w:tcBorders>
        </w:tcPr>
        <w:p w:rsidR="007E3007" w:rsidRPr="00AE6E88" w:rsidRDefault="005D1CAB" w:rsidP="007E3007">
          <w:pPr>
            <w:rPr>
              <w:sz w:val="16"/>
              <w:szCs w:val="16"/>
            </w:rPr>
          </w:pPr>
          <w:r>
            <w:rPr>
              <w:sz w:val="16"/>
              <w:szCs w:val="16"/>
            </w:rPr>
            <w:t xml:space="preserve">Alain </w:t>
          </w:r>
          <w:proofErr w:type="spellStart"/>
          <w:r>
            <w:rPr>
              <w:sz w:val="16"/>
              <w:szCs w:val="16"/>
            </w:rPr>
            <w:t>Benard</w:t>
          </w:r>
          <w:proofErr w:type="spellEnd"/>
        </w:p>
      </w:tc>
      <w:tc>
        <w:tcPr>
          <w:tcW w:w="2551" w:type="dxa"/>
          <w:tcBorders>
            <w:top w:val="single" w:sz="6" w:space="0" w:color="008000"/>
            <w:left w:val="single" w:sz="6" w:space="0" w:color="008000"/>
            <w:bottom w:val="single" w:sz="6" w:space="0" w:color="008000"/>
            <w:right w:val="single" w:sz="6" w:space="0" w:color="008000"/>
          </w:tcBorders>
        </w:tcPr>
        <w:p w:rsidR="007E3007" w:rsidRDefault="005D1CAB" w:rsidP="003F295D">
          <w:r>
            <w:t>Les participants</w:t>
          </w:r>
        </w:p>
      </w:tc>
      <w:tc>
        <w:tcPr>
          <w:tcW w:w="2552" w:type="dxa"/>
          <w:tcBorders>
            <w:top w:val="single" w:sz="6" w:space="0" w:color="008000"/>
            <w:left w:val="single" w:sz="6" w:space="0" w:color="008000"/>
            <w:bottom w:val="single" w:sz="6" w:space="0" w:color="008000"/>
            <w:right w:val="single" w:sz="6" w:space="0" w:color="008000"/>
          </w:tcBorders>
        </w:tcPr>
        <w:p w:rsidR="007E3007" w:rsidRDefault="007E3007" w:rsidP="003F295D"/>
      </w:tc>
    </w:tr>
  </w:tbl>
  <w:p w:rsidR="007E3007" w:rsidRDefault="007E3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30B" w:rsidRDefault="0077330B" w:rsidP="007E3007">
      <w:r>
        <w:separator/>
      </w:r>
    </w:p>
  </w:footnote>
  <w:footnote w:type="continuationSeparator" w:id="0">
    <w:p w:rsidR="0077330B" w:rsidRDefault="0077330B" w:rsidP="007E3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1E0" w:firstRow="1" w:lastRow="1" w:firstColumn="1" w:lastColumn="1" w:noHBand="0" w:noVBand="0"/>
    </w:tblPr>
    <w:tblGrid>
      <w:gridCol w:w="2409"/>
      <w:gridCol w:w="4592"/>
      <w:gridCol w:w="2061"/>
    </w:tblGrid>
    <w:tr w:rsidR="007E3007" w:rsidTr="003F295D">
      <w:trPr>
        <w:trHeight w:val="894"/>
      </w:trPr>
      <w:tc>
        <w:tcPr>
          <w:tcW w:w="2448" w:type="dxa"/>
          <w:vAlign w:val="center"/>
        </w:tcPr>
        <w:p w:rsidR="007E3007" w:rsidRPr="00C9267B" w:rsidRDefault="0084461A" w:rsidP="003F295D">
          <w:pPr>
            <w:jc w:val="center"/>
            <w:rPr>
              <w:sz w:val="20"/>
              <w:szCs w:val="20"/>
            </w:rPr>
          </w:pPr>
          <w:r>
            <w:rPr>
              <w:noProof/>
            </w:rPr>
            <w:t>CATI SIOEA</w:t>
          </w:r>
        </w:p>
      </w:tc>
      <w:tc>
        <w:tcPr>
          <w:tcW w:w="4680" w:type="dxa"/>
          <w:vAlign w:val="center"/>
        </w:tcPr>
        <w:p w:rsidR="007E3007" w:rsidRPr="00C9267B" w:rsidRDefault="007E3007" w:rsidP="00C410D1">
          <w:pPr>
            <w:pStyle w:val="Header"/>
            <w:jc w:val="center"/>
            <w:rPr>
              <w:b/>
              <w:sz w:val="20"/>
              <w:szCs w:val="20"/>
            </w:rPr>
          </w:pPr>
          <w:r w:rsidRPr="00C9267B">
            <w:rPr>
              <w:b/>
              <w:sz w:val="20"/>
              <w:szCs w:val="20"/>
            </w:rPr>
            <w:t xml:space="preserve">Objet : </w:t>
          </w:r>
          <w:r w:rsidR="0084461A">
            <w:rPr>
              <w:b/>
              <w:sz w:val="20"/>
              <w:szCs w:val="20"/>
            </w:rPr>
            <w:t xml:space="preserve">Compte-rendu réunion du </w:t>
          </w:r>
          <w:r w:rsidR="00C410D1">
            <w:rPr>
              <w:b/>
              <w:sz w:val="20"/>
              <w:szCs w:val="20"/>
            </w:rPr>
            <w:t>08</w:t>
          </w:r>
          <w:r w:rsidR="0084461A">
            <w:rPr>
              <w:b/>
              <w:sz w:val="20"/>
              <w:szCs w:val="20"/>
            </w:rPr>
            <w:t>/</w:t>
          </w:r>
          <w:r w:rsidR="00C410D1">
            <w:rPr>
              <w:b/>
              <w:sz w:val="20"/>
              <w:szCs w:val="20"/>
            </w:rPr>
            <w:t>06/2016</w:t>
          </w:r>
        </w:p>
      </w:tc>
      <w:tc>
        <w:tcPr>
          <w:tcW w:w="2084" w:type="dxa"/>
          <w:vMerge w:val="restart"/>
        </w:tcPr>
        <w:p w:rsidR="007E3007" w:rsidRPr="00C9267B" w:rsidRDefault="007E3007" w:rsidP="003F295D">
          <w:pPr>
            <w:pStyle w:val="Header"/>
            <w:rPr>
              <w:sz w:val="20"/>
              <w:szCs w:val="20"/>
            </w:rPr>
          </w:pPr>
          <w:r w:rsidRPr="00C9267B">
            <w:rPr>
              <w:sz w:val="20"/>
              <w:szCs w:val="20"/>
            </w:rPr>
            <w:t xml:space="preserve">Page </w:t>
          </w:r>
          <w:r w:rsidR="00F21D77" w:rsidRPr="00C9267B">
            <w:rPr>
              <w:sz w:val="20"/>
              <w:szCs w:val="20"/>
            </w:rPr>
            <w:fldChar w:fldCharType="begin"/>
          </w:r>
          <w:r w:rsidRPr="00C9267B">
            <w:rPr>
              <w:sz w:val="20"/>
              <w:szCs w:val="20"/>
            </w:rPr>
            <w:instrText xml:space="preserve"> PAGE </w:instrText>
          </w:r>
          <w:r w:rsidR="00F21D77" w:rsidRPr="00C9267B">
            <w:rPr>
              <w:sz w:val="20"/>
              <w:szCs w:val="20"/>
            </w:rPr>
            <w:fldChar w:fldCharType="separate"/>
          </w:r>
          <w:r w:rsidR="004978D6">
            <w:rPr>
              <w:noProof/>
              <w:sz w:val="20"/>
              <w:szCs w:val="20"/>
            </w:rPr>
            <w:t>2</w:t>
          </w:r>
          <w:r w:rsidR="00F21D77" w:rsidRPr="00C9267B">
            <w:rPr>
              <w:sz w:val="20"/>
              <w:szCs w:val="20"/>
            </w:rPr>
            <w:fldChar w:fldCharType="end"/>
          </w:r>
          <w:r w:rsidRPr="00C9267B">
            <w:rPr>
              <w:sz w:val="20"/>
              <w:szCs w:val="20"/>
            </w:rPr>
            <w:t xml:space="preserve"> sur </w:t>
          </w:r>
          <w:r w:rsidR="00F21D77" w:rsidRPr="00C9267B">
            <w:rPr>
              <w:sz w:val="20"/>
              <w:szCs w:val="20"/>
            </w:rPr>
            <w:fldChar w:fldCharType="begin"/>
          </w:r>
          <w:r w:rsidRPr="00C9267B">
            <w:rPr>
              <w:sz w:val="20"/>
              <w:szCs w:val="20"/>
            </w:rPr>
            <w:instrText xml:space="preserve"> NUMPAGES </w:instrText>
          </w:r>
          <w:r w:rsidR="00F21D77" w:rsidRPr="00C9267B">
            <w:rPr>
              <w:sz w:val="20"/>
              <w:szCs w:val="20"/>
            </w:rPr>
            <w:fldChar w:fldCharType="separate"/>
          </w:r>
          <w:r w:rsidR="004978D6">
            <w:rPr>
              <w:noProof/>
              <w:sz w:val="20"/>
              <w:szCs w:val="20"/>
            </w:rPr>
            <w:t>2</w:t>
          </w:r>
          <w:r w:rsidR="00F21D77" w:rsidRPr="00C9267B">
            <w:rPr>
              <w:sz w:val="20"/>
              <w:szCs w:val="20"/>
            </w:rPr>
            <w:fldChar w:fldCharType="end"/>
          </w:r>
        </w:p>
        <w:p w:rsidR="007E3007" w:rsidRPr="00C9267B" w:rsidRDefault="007E3007" w:rsidP="003F295D">
          <w:pPr>
            <w:pStyle w:val="Header"/>
            <w:rPr>
              <w:sz w:val="20"/>
              <w:szCs w:val="20"/>
            </w:rPr>
          </w:pPr>
          <w:r w:rsidRPr="00C9267B">
            <w:rPr>
              <w:sz w:val="20"/>
              <w:szCs w:val="20"/>
            </w:rPr>
            <w:t xml:space="preserve">Date : </w:t>
          </w:r>
          <w:r w:rsidR="00C410D1">
            <w:rPr>
              <w:sz w:val="20"/>
              <w:szCs w:val="20"/>
            </w:rPr>
            <w:t>13</w:t>
          </w:r>
          <w:r w:rsidRPr="00C9267B">
            <w:rPr>
              <w:sz w:val="20"/>
              <w:szCs w:val="20"/>
            </w:rPr>
            <w:t>/</w:t>
          </w:r>
          <w:r w:rsidR="00C410D1">
            <w:rPr>
              <w:sz w:val="20"/>
              <w:szCs w:val="20"/>
            </w:rPr>
            <w:t>06</w:t>
          </w:r>
          <w:r w:rsidRPr="00C9267B">
            <w:rPr>
              <w:sz w:val="20"/>
              <w:szCs w:val="20"/>
            </w:rPr>
            <w:t>/20</w:t>
          </w:r>
          <w:r>
            <w:rPr>
              <w:sz w:val="20"/>
              <w:szCs w:val="20"/>
            </w:rPr>
            <w:t>1</w:t>
          </w:r>
          <w:r w:rsidR="00C410D1">
            <w:rPr>
              <w:sz w:val="20"/>
              <w:szCs w:val="20"/>
            </w:rPr>
            <w:t>6</w:t>
          </w:r>
        </w:p>
        <w:p w:rsidR="007E3007" w:rsidRPr="00C9267B" w:rsidRDefault="007E3007" w:rsidP="003F295D">
          <w:pPr>
            <w:pStyle w:val="Header"/>
            <w:rPr>
              <w:sz w:val="20"/>
              <w:szCs w:val="20"/>
            </w:rPr>
          </w:pPr>
          <w:r w:rsidRPr="00C9267B">
            <w:rPr>
              <w:sz w:val="20"/>
              <w:szCs w:val="20"/>
            </w:rPr>
            <w:t xml:space="preserve">Version </w:t>
          </w:r>
          <w:r>
            <w:rPr>
              <w:sz w:val="20"/>
              <w:szCs w:val="20"/>
            </w:rPr>
            <w:t>1</w:t>
          </w:r>
        </w:p>
      </w:tc>
    </w:tr>
    <w:tr w:rsidR="007E3007" w:rsidTr="003F295D">
      <w:tc>
        <w:tcPr>
          <w:tcW w:w="2448" w:type="dxa"/>
        </w:tcPr>
        <w:p w:rsidR="007E3007" w:rsidRPr="00C9267B" w:rsidRDefault="007E3007" w:rsidP="003F295D">
          <w:pPr>
            <w:pStyle w:val="Header"/>
            <w:rPr>
              <w:sz w:val="20"/>
              <w:szCs w:val="20"/>
            </w:rPr>
          </w:pPr>
        </w:p>
      </w:tc>
      <w:tc>
        <w:tcPr>
          <w:tcW w:w="4680" w:type="dxa"/>
        </w:tcPr>
        <w:p w:rsidR="007E3007" w:rsidRPr="00993994" w:rsidRDefault="007E3007" w:rsidP="003F295D">
          <w:pPr>
            <w:pStyle w:val="Header"/>
            <w:rPr>
              <w:b/>
            </w:rPr>
          </w:pPr>
        </w:p>
      </w:tc>
      <w:tc>
        <w:tcPr>
          <w:tcW w:w="2084" w:type="dxa"/>
          <w:vMerge/>
        </w:tcPr>
        <w:p w:rsidR="007E3007" w:rsidRDefault="007E3007" w:rsidP="003F295D">
          <w:pPr>
            <w:pStyle w:val="Header"/>
          </w:pPr>
        </w:p>
      </w:tc>
    </w:tr>
  </w:tbl>
  <w:p w:rsidR="007E3007" w:rsidRDefault="007E30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343B5"/>
    <w:multiLevelType w:val="hybridMultilevel"/>
    <w:tmpl w:val="89E6CB2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32E7B08"/>
    <w:multiLevelType w:val="hybridMultilevel"/>
    <w:tmpl w:val="70280C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AA0CE3"/>
    <w:multiLevelType w:val="hybridMultilevel"/>
    <w:tmpl w:val="FD1CE79C"/>
    <w:lvl w:ilvl="0" w:tplc="938CF30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811BE8"/>
    <w:multiLevelType w:val="hybridMultilevel"/>
    <w:tmpl w:val="2564E32A"/>
    <w:lvl w:ilvl="0" w:tplc="FEFE0B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1C4771"/>
    <w:multiLevelType w:val="hybridMultilevel"/>
    <w:tmpl w:val="EEB4253C"/>
    <w:lvl w:ilvl="0" w:tplc="1E728622">
      <w:start w:val="1"/>
      <w:numFmt w:val="decimal"/>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39344736"/>
    <w:multiLevelType w:val="multilevel"/>
    <w:tmpl w:val="8214C0B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920D33"/>
    <w:multiLevelType w:val="hybridMultilevel"/>
    <w:tmpl w:val="0EEE03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8772BD"/>
    <w:multiLevelType w:val="hybridMultilevel"/>
    <w:tmpl w:val="A6D498D2"/>
    <w:lvl w:ilvl="0" w:tplc="9240106E">
      <w:start w:val="1"/>
      <w:numFmt w:val="decimal"/>
      <w:lvlText w:val="%1.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78231D94"/>
    <w:multiLevelType w:val="hybridMultilevel"/>
    <w:tmpl w:val="FC82C1A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7"/>
  </w:num>
  <w:num w:numId="2">
    <w:abstractNumId w:val="2"/>
  </w:num>
  <w:num w:numId="3">
    <w:abstractNumId w:val="4"/>
  </w:num>
  <w:num w:numId="4">
    <w:abstractNumId w:val="3"/>
  </w:num>
  <w:num w:numId="5">
    <w:abstractNumId w:val="3"/>
  </w:num>
  <w:num w:numId="6">
    <w:abstractNumId w:val="4"/>
  </w:num>
  <w:num w:numId="7">
    <w:abstractNumId w:val="3"/>
  </w:num>
  <w:num w:numId="8">
    <w:abstractNumId w:val="3"/>
  </w:num>
  <w:num w:numId="9">
    <w:abstractNumId w:val="5"/>
  </w:num>
  <w:num w:numId="10">
    <w:abstractNumId w:val="5"/>
  </w:num>
  <w:num w:numId="11">
    <w:abstractNumId w:val="5"/>
  </w:num>
  <w:num w:numId="12">
    <w:abstractNumId w:val="5"/>
  </w:num>
  <w:num w:numId="13">
    <w:abstractNumId w:val="5"/>
  </w:num>
  <w:num w:numId="14">
    <w:abstractNumId w:val="6"/>
  </w:num>
  <w:num w:numId="15">
    <w:abstractNumId w:val="1"/>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D1"/>
    <w:rsid w:val="000E7FBF"/>
    <w:rsid w:val="00281AD1"/>
    <w:rsid w:val="0033079D"/>
    <w:rsid w:val="004626EC"/>
    <w:rsid w:val="004978D6"/>
    <w:rsid w:val="004A4F30"/>
    <w:rsid w:val="00576F79"/>
    <w:rsid w:val="005C7141"/>
    <w:rsid w:val="005D1CAB"/>
    <w:rsid w:val="0077330B"/>
    <w:rsid w:val="007E3007"/>
    <w:rsid w:val="007F564B"/>
    <w:rsid w:val="00840DBA"/>
    <w:rsid w:val="0084461A"/>
    <w:rsid w:val="008D7CD4"/>
    <w:rsid w:val="00974768"/>
    <w:rsid w:val="009E329E"/>
    <w:rsid w:val="00BB5D2A"/>
    <w:rsid w:val="00C410D1"/>
    <w:rsid w:val="00E953E6"/>
    <w:rsid w:val="00F21D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0349D5-91A4-45AB-A4A1-5E057A3B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07"/>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ListParagraph"/>
    <w:next w:val="Normal"/>
    <w:link w:val="Heading1Char"/>
    <w:uiPriority w:val="9"/>
    <w:qFormat/>
    <w:rsid w:val="008D7CD4"/>
    <w:pPr>
      <w:numPr>
        <w:numId w:val="13"/>
      </w:numPr>
      <w:outlineLvl w:val="0"/>
    </w:pPr>
    <w:rPr>
      <w:rFonts w:asciiTheme="majorHAnsi" w:hAnsiTheme="majorHAnsi"/>
      <w:b/>
      <w:color w:val="365F91" w:themeColor="accent1" w:themeShade="BF"/>
      <w:sz w:val="28"/>
      <w:szCs w:val="28"/>
    </w:rPr>
  </w:style>
  <w:style w:type="paragraph" w:styleId="Heading2">
    <w:name w:val="heading 2"/>
    <w:basedOn w:val="ListParagraph"/>
    <w:next w:val="Normal"/>
    <w:link w:val="Heading2Char"/>
    <w:uiPriority w:val="9"/>
    <w:unhideWhenUsed/>
    <w:qFormat/>
    <w:rsid w:val="008D7CD4"/>
    <w:pPr>
      <w:numPr>
        <w:ilvl w:val="1"/>
        <w:numId w:val="13"/>
      </w:numPr>
      <w:outlineLvl w:val="1"/>
    </w:pPr>
    <w:rPr>
      <w:rFonts w:asciiTheme="majorHAnsi" w:hAnsiTheme="majorHAnsi"/>
      <w:b/>
      <w:color w:val="4F81BD" w:themeColor="accent1"/>
      <w:sz w:val="26"/>
      <w:szCs w:val="26"/>
    </w:rPr>
  </w:style>
  <w:style w:type="paragraph" w:styleId="Heading3">
    <w:name w:val="heading 3"/>
    <w:basedOn w:val="ListParagraph"/>
    <w:next w:val="Normal"/>
    <w:link w:val="Heading3Char"/>
    <w:uiPriority w:val="9"/>
    <w:unhideWhenUsed/>
    <w:qFormat/>
    <w:rsid w:val="008D7CD4"/>
    <w:pPr>
      <w:numPr>
        <w:ilvl w:val="2"/>
        <w:numId w:val="13"/>
      </w:numPr>
      <w:outlineLvl w:val="2"/>
    </w:pPr>
    <w:rPr>
      <w:rFonts w:asciiTheme="majorHAnsi" w:hAnsiTheme="majorHAnsi"/>
      <w:b/>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7CD4"/>
    <w:rPr>
      <w:rFonts w:asciiTheme="majorHAnsi" w:hAnsiTheme="majorHAnsi"/>
      <w:b/>
      <w:color w:val="4F81BD" w:themeColor="accent1"/>
      <w:sz w:val="26"/>
      <w:szCs w:val="26"/>
    </w:rPr>
  </w:style>
  <w:style w:type="character" w:customStyle="1" w:styleId="Heading1Char">
    <w:name w:val="Heading 1 Char"/>
    <w:basedOn w:val="DefaultParagraphFont"/>
    <w:link w:val="Heading1"/>
    <w:uiPriority w:val="9"/>
    <w:rsid w:val="008D7CD4"/>
    <w:rPr>
      <w:rFonts w:asciiTheme="majorHAnsi" w:hAnsiTheme="majorHAnsi"/>
      <w:b/>
      <w:color w:val="365F91" w:themeColor="accent1" w:themeShade="BF"/>
      <w:sz w:val="28"/>
      <w:szCs w:val="28"/>
    </w:rPr>
  </w:style>
  <w:style w:type="paragraph" w:styleId="ListParagraph">
    <w:name w:val="List Paragraph"/>
    <w:basedOn w:val="Normal"/>
    <w:uiPriority w:val="34"/>
    <w:qFormat/>
    <w:rsid w:val="008D7CD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3Char">
    <w:name w:val="Heading 3 Char"/>
    <w:basedOn w:val="DefaultParagraphFont"/>
    <w:link w:val="Heading3"/>
    <w:uiPriority w:val="9"/>
    <w:rsid w:val="008D7CD4"/>
    <w:rPr>
      <w:rFonts w:asciiTheme="majorHAnsi" w:hAnsiTheme="majorHAnsi"/>
      <w:b/>
      <w:color w:val="4F81BD" w:themeColor="accent1"/>
    </w:rPr>
  </w:style>
  <w:style w:type="paragraph" w:styleId="Header">
    <w:name w:val="header"/>
    <w:basedOn w:val="Normal"/>
    <w:link w:val="HeaderChar"/>
    <w:unhideWhenUsed/>
    <w:rsid w:val="007E3007"/>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emiHidden/>
    <w:rsid w:val="007E3007"/>
  </w:style>
  <w:style w:type="paragraph" w:styleId="Footer">
    <w:name w:val="footer"/>
    <w:basedOn w:val="Normal"/>
    <w:link w:val="FooterChar"/>
    <w:uiPriority w:val="99"/>
    <w:unhideWhenUsed/>
    <w:rsid w:val="007E3007"/>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E3007"/>
  </w:style>
  <w:style w:type="table" w:styleId="TableGrid">
    <w:name w:val="Table Grid"/>
    <w:basedOn w:val="TableNormal"/>
    <w:rsid w:val="007E300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3007"/>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7E30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ureautique\mod&#232;les\CATI.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CATI.dotx</Template>
  <TotalTime>46</TotalTime>
  <Pages>2</Pages>
  <Words>715</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INRA</Company>
  <LinksUpToDate>false</LinksUpToDate>
  <CharactersWithSpaces>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dc:creator>
  <cp:lastModifiedBy>alain</cp:lastModifiedBy>
  <cp:revision>5</cp:revision>
  <dcterms:created xsi:type="dcterms:W3CDTF">2016-06-13T09:00:00Z</dcterms:created>
  <dcterms:modified xsi:type="dcterms:W3CDTF">2016-06-13T09:46:00Z</dcterms:modified>
</cp:coreProperties>
</file>